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38B8" w:rsidRPr="00BB7B9A" w:rsidRDefault="00D1586E" w:rsidP="00D1586E">
      <w:pPr>
        <w:wordWrap/>
        <w:spacing w:line="360" w:lineRule="auto"/>
        <w:jc w:val="center"/>
        <w:rPr>
          <w:rFonts w:ascii="Times New Roman" w:hAnsi="Times New Roman" w:cs="Times New Roman"/>
          <w:sz w:val="32"/>
          <w:szCs w:val="32"/>
        </w:rPr>
      </w:pPr>
      <w:r>
        <w:rPr>
          <w:rFonts w:ascii="Times New Roman" w:hAnsi="Times New Roman" w:cs="Times New Roman" w:hint="eastAsia"/>
          <w:sz w:val="32"/>
          <w:szCs w:val="32"/>
        </w:rPr>
        <w:t xml:space="preserve">Critical Discussion on the Use of </w:t>
      </w:r>
      <w:r w:rsidR="00E87C3B" w:rsidRPr="00BB7B9A">
        <w:rPr>
          <w:rFonts w:ascii="Times New Roman" w:hAnsi="Times New Roman" w:cs="Times New Roman" w:hint="eastAsia"/>
          <w:sz w:val="32"/>
          <w:szCs w:val="32"/>
        </w:rPr>
        <w:t>the Concept of the Sacred</w:t>
      </w:r>
    </w:p>
    <w:p w:rsidR="00E87C3B" w:rsidRPr="00BB7B9A" w:rsidRDefault="00E87C3B" w:rsidP="00BB7B9A">
      <w:pPr>
        <w:wordWrap/>
        <w:spacing w:line="360" w:lineRule="auto"/>
        <w:jc w:val="center"/>
        <w:rPr>
          <w:rFonts w:ascii="Times New Roman" w:hAnsi="Times New Roman" w:cs="Times New Roman"/>
          <w:sz w:val="32"/>
          <w:szCs w:val="32"/>
        </w:rPr>
      </w:pPr>
      <w:r w:rsidRPr="00BB7B9A">
        <w:rPr>
          <w:rFonts w:ascii="Times New Roman" w:hAnsi="Times New Roman" w:cs="Times New Roman" w:hint="eastAsia"/>
          <w:sz w:val="32"/>
          <w:szCs w:val="32"/>
        </w:rPr>
        <w:t>in the Sociology of Religion</w:t>
      </w:r>
    </w:p>
    <w:p w:rsidR="00E87C3B" w:rsidRPr="00BB7B9A" w:rsidRDefault="00BB7B9A" w:rsidP="00BB7B9A">
      <w:pPr>
        <w:wordWrap/>
        <w:spacing w:line="360" w:lineRule="auto"/>
        <w:jc w:val="right"/>
        <w:rPr>
          <w:rFonts w:ascii="Times New Roman" w:hAnsi="Times New Roman" w:cs="Times New Roman"/>
          <w:sz w:val="22"/>
        </w:rPr>
      </w:pPr>
      <w:r>
        <w:rPr>
          <w:rFonts w:ascii="Times New Roman" w:hAnsi="Times New Roman" w:cs="Times New Roman" w:hint="eastAsia"/>
          <w:sz w:val="22"/>
        </w:rPr>
        <w:t>하홍규</w:t>
      </w:r>
      <w:r w:rsidR="002D0BE4">
        <w:rPr>
          <w:rFonts w:ascii="Times New Roman" w:hAnsi="Times New Roman" w:cs="Times New Roman" w:hint="eastAsia"/>
          <w:sz w:val="22"/>
        </w:rPr>
        <w:t xml:space="preserve"> </w:t>
      </w:r>
      <w:r w:rsidR="00C24367">
        <w:rPr>
          <w:rFonts w:ascii="Times New Roman" w:hAnsi="Times New Roman" w:cs="Times New Roman" w:hint="eastAsia"/>
          <w:sz w:val="22"/>
        </w:rPr>
        <w:t>(</w:t>
      </w:r>
      <w:r w:rsidR="00C24367">
        <w:rPr>
          <w:rFonts w:ascii="Times New Roman" w:hAnsi="Times New Roman" w:cs="Times New Roman" w:hint="eastAsia"/>
          <w:sz w:val="22"/>
        </w:rPr>
        <w:t>연세대학교</w:t>
      </w:r>
      <w:r w:rsidR="00C24367">
        <w:rPr>
          <w:rFonts w:ascii="Times New Roman" w:hAnsi="Times New Roman" w:cs="Times New Roman" w:hint="eastAsia"/>
          <w:sz w:val="22"/>
        </w:rPr>
        <w:t xml:space="preserve"> </w:t>
      </w:r>
      <w:r w:rsidR="00C24367">
        <w:rPr>
          <w:rFonts w:ascii="Times New Roman" w:hAnsi="Times New Roman" w:cs="Times New Roman" w:hint="eastAsia"/>
          <w:sz w:val="22"/>
        </w:rPr>
        <w:t>사회발전연구소</w:t>
      </w:r>
      <w:r w:rsidR="00C24367">
        <w:rPr>
          <w:rFonts w:ascii="Times New Roman" w:hAnsi="Times New Roman" w:cs="Times New Roman" w:hint="eastAsia"/>
          <w:sz w:val="22"/>
        </w:rPr>
        <w:t>)</w:t>
      </w:r>
    </w:p>
    <w:p w:rsidR="00CC2261" w:rsidRPr="00BB7B9A" w:rsidRDefault="00CC2261" w:rsidP="00BB7B9A">
      <w:pPr>
        <w:wordWrap/>
        <w:ind w:left="4003"/>
        <w:jc w:val="left"/>
        <w:rPr>
          <w:rFonts w:ascii="Times New Roman" w:hAnsi="Times New Roman" w:cs="Times New Roman"/>
          <w:sz w:val="22"/>
        </w:rPr>
      </w:pPr>
    </w:p>
    <w:p w:rsidR="00E87C3B" w:rsidRPr="00BB7B9A" w:rsidRDefault="006A7ECB" w:rsidP="00BB7B9A">
      <w:pPr>
        <w:pStyle w:val="a9"/>
        <w:numPr>
          <w:ilvl w:val="0"/>
          <w:numId w:val="28"/>
        </w:numPr>
        <w:spacing w:line="360" w:lineRule="auto"/>
        <w:ind w:leftChars="0"/>
        <w:rPr>
          <w:sz w:val="22"/>
          <w:szCs w:val="22"/>
        </w:rPr>
      </w:pPr>
      <w:r w:rsidRPr="00BB7B9A">
        <w:rPr>
          <w:rFonts w:hint="eastAsia"/>
          <w:sz w:val="22"/>
          <w:szCs w:val="22"/>
        </w:rPr>
        <w:t xml:space="preserve">Introduction </w:t>
      </w:r>
    </w:p>
    <w:p w:rsidR="006A7ECB" w:rsidRPr="00BB7B9A" w:rsidRDefault="006A7ECB" w:rsidP="00BB7B9A">
      <w:pPr>
        <w:wordWrap/>
        <w:spacing w:line="360" w:lineRule="auto"/>
        <w:jc w:val="left"/>
        <w:rPr>
          <w:rFonts w:ascii="Times New Roman" w:hAnsi="Times New Roman" w:cs="Times New Roman"/>
          <w:sz w:val="22"/>
        </w:rPr>
      </w:pPr>
    </w:p>
    <w:p w:rsidR="008845B5" w:rsidRDefault="00E87C3B" w:rsidP="00C24367">
      <w:pPr>
        <w:wordWrap/>
        <w:spacing w:line="360" w:lineRule="auto"/>
        <w:jc w:val="left"/>
        <w:rPr>
          <w:rFonts w:ascii="Times New Roman" w:hAnsi="Times New Roman" w:cs="Times New Roman"/>
          <w:sz w:val="22"/>
        </w:rPr>
      </w:pPr>
      <w:r w:rsidRPr="00BB7B9A">
        <w:rPr>
          <w:rFonts w:ascii="Times New Roman" w:hAnsi="Times New Roman" w:cs="Times New Roman" w:hint="eastAsia"/>
          <w:sz w:val="22"/>
        </w:rPr>
        <w:t xml:space="preserve">This essay aims at discussing </w:t>
      </w:r>
      <w:r w:rsidRPr="00BB7B9A">
        <w:rPr>
          <w:rFonts w:ascii="Times New Roman" w:hAnsi="Times New Roman" w:cs="Times New Roman"/>
          <w:sz w:val="22"/>
        </w:rPr>
        <w:t>the conceptual problems involved in employing the concept of the sacred in the sociology of religion</w:t>
      </w:r>
      <w:r w:rsidR="004A38B8" w:rsidRPr="00BB7B9A">
        <w:rPr>
          <w:rFonts w:ascii="Times New Roman" w:hAnsi="Times New Roman" w:cs="Times New Roman" w:hint="eastAsia"/>
          <w:sz w:val="22"/>
        </w:rPr>
        <w:t xml:space="preserve"> and searching for the possibility of the </w:t>
      </w:r>
      <w:r w:rsidR="004A38B8" w:rsidRPr="00BB7B9A">
        <w:rPr>
          <w:rFonts w:ascii="Times New Roman" w:hAnsi="Times New Roman" w:cs="Times New Roman"/>
          <w:sz w:val="22"/>
        </w:rPr>
        <w:t>grammatical</w:t>
      </w:r>
      <w:r w:rsidR="004A38B8" w:rsidRPr="00BB7B9A">
        <w:rPr>
          <w:rFonts w:ascii="Times New Roman" w:hAnsi="Times New Roman" w:cs="Times New Roman" w:hint="eastAsia"/>
          <w:sz w:val="22"/>
        </w:rPr>
        <w:t xml:space="preserve"> investigation of </w:t>
      </w:r>
      <w:r w:rsidR="006A7ECB" w:rsidRPr="00BB7B9A">
        <w:rPr>
          <w:rFonts w:ascii="Times New Roman" w:hAnsi="Times New Roman" w:cs="Times New Roman" w:hint="eastAsia"/>
          <w:sz w:val="22"/>
        </w:rPr>
        <w:t>a variety of</w:t>
      </w:r>
      <w:r w:rsidR="004A38B8" w:rsidRPr="00BB7B9A">
        <w:rPr>
          <w:rFonts w:ascii="Times New Roman" w:hAnsi="Times New Roman" w:cs="Times New Roman" w:hint="eastAsia"/>
          <w:sz w:val="22"/>
        </w:rPr>
        <w:t xml:space="preserve"> concepts that are used in religious practices</w:t>
      </w:r>
      <w:r w:rsidR="006A7ECB" w:rsidRPr="00BB7B9A">
        <w:rPr>
          <w:rFonts w:ascii="Times New Roman" w:hAnsi="Times New Roman" w:cs="Times New Roman" w:hint="eastAsia"/>
          <w:sz w:val="22"/>
        </w:rPr>
        <w:t xml:space="preserve"> i</w:t>
      </w:r>
      <w:r w:rsidR="004A38B8" w:rsidRPr="00BB7B9A">
        <w:rPr>
          <w:rFonts w:ascii="Times New Roman" w:hAnsi="Times New Roman" w:cs="Times New Roman" w:hint="eastAsia"/>
          <w:sz w:val="22"/>
        </w:rPr>
        <w:t xml:space="preserve">n light of </w:t>
      </w:r>
      <w:r w:rsidR="004A38B8" w:rsidRPr="00BB7B9A">
        <w:rPr>
          <w:rFonts w:ascii="Times New Roman" w:hAnsi="Times New Roman" w:cs="Times New Roman"/>
          <w:sz w:val="22"/>
        </w:rPr>
        <w:t>the</w:t>
      </w:r>
      <w:r w:rsidR="004A38B8" w:rsidRPr="00BB7B9A">
        <w:rPr>
          <w:rFonts w:ascii="Times New Roman" w:hAnsi="Times New Roman" w:cs="Times New Roman" w:hint="eastAsia"/>
          <w:sz w:val="22"/>
        </w:rPr>
        <w:t xml:space="preserve"> later work of Ludwig Wittgenstein. </w:t>
      </w:r>
      <w:r w:rsidR="006A7ECB" w:rsidRPr="00BB7B9A">
        <w:rPr>
          <w:rFonts w:ascii="Times New Roman" w:hAnsi="Times New Roman" w:cs="Times New Roman" w:hint="eastAsia"/>
          <w:sz w:val="22"/>
        </w:rPr>
        <w:t xml:space="preserve"> </w:t>
      </w:r>
      <w:r w:rsidR="000F2C72">
        <w:rPr>
          <w:rFonts w:ascii="Times New Roman" w:hAnsi="Times New Roman" w:cs="Times New Roman"/>
          <w:sz w:val="22"/>
        </w:rPr>
        <w:t>T</w:t>
      </w:r>
      <w:r w:rsidR="000F2C72">
        <w:rPr>
          <w:rFonts w:ascii="Times New Roman" w:hAnsi="Times New Roman" w:cs="Times New Roman" w:hint="eastAsia"/>
          <w:sz w:val="22"/>
        </w:rPr>
        <w:t xml:space="preserve">he later </w:t>
      </w:r>
      <w:r w:rsidR="004A38B8" w:rsidRPr="00BB7B9A">
        <w:rPr>
          <w:rFonts w:ascii="Times New Roman" w:hAnsi="Times New Roman" w:cs="Times New Roman"/>
          <w:sz w:val="22"/>
        </w:rPr>
        <w:t>Wittgenstein</w:t>
      </w:r>
      <w:r w:rsidR="000F2C72">
        <w:rPr>
          <w:rFonts w:ascii="Times New Roman" w:hAnsi="Times New Roman" w:cs="Times New Roman" w:hint="eastAsia"/>
          <w:sz w:val="22"/>
        </w:rPr>
        <w:t xml:space="preserve"> takes pains</w:t>
      </w:r>
      <w:r w:rsidR="004A38B8" w:rsidRPr="00BB7B9A">
        <w:rPr>
          <w:rFonts w:ascii="Times New Roman" w:hAnsi="Times New Roman" w:cs="Times New Roman"/>
          <w:sz w:val="22"/>
        </w:rPr>
        <w:t xml:space="preserve"> </w:t>
      </w:r>
      <w:r w:rsidR="000F2C72">
        <w:rPr>
          <w:rFonts w:ascii="Times New Roman" w:hAnsi="Times New Roman" w:cs="Times New Roman" w:hint="eastAsia"/>
          <w:sz w:val="22"/>
        </w:rPr>
        <w:t>to</w:t>
      </w:r>
      <w:r w:rsidR="004A38B8" w:rsidRPr="00BB7B9A">
        <w:rPr>
          <w:rFonts w:ascii="Times New Roman" w:hAnsi="Times New Roman" w:cs="Times New Roman"/>
          <w:sz w:val="22"/>
        </w:rPr>
        <w:t xml:space="preserve"> resolv</w:t>
      </w:r>
      <w:r w:rsidR="000F2C72">
        <w:rPr>
          <w:rFonts w:ascii="Times New Roman" w:hAnsi="Times New Roman" w:cs="Times New Roman" w:hint="eastAsia"/>
          <w:sz w:val="22"/>
        </w:rPr>
        <w:t>e</w:t>
      </w:r>
      <w:r w:rsidR="004A38B8" w:rsidRPr="00BB7B9A">
        <w:rPr>
          <w:rFonts w:ascii="Times New Roman" w:hAnsi="Times New Roman" w:cs="Times New Roman"/>
          <w:sz w:val="22"/>
        </w:rPr>
        <w:t xml:space="preserve"> or dissolv</w:t>
      </w:r>
      <w:r w:rsidR="000F2C72">
        <w:rPr>
          <w:rFonts w:ascii="Times New Roman" w:hAnsi="Times New Roman" w:cs="Times New Roman" w:hint="eastAsia"/>
          <w:sz w:val="22"/>
        </w:rPr>
        <w:t>e</w:t>
      </w:r>
      <w:r w:rsidR="004A38B8" w:rsidRPr="00BB7B9A">
        <w:rPr>
          <w:rFonts w:ascii="Times New Roman" w:hAnsi="Times New Roman" w:cs="Times New Roman"/>
          <w:sz w:val="22"/>
        </w:rPr>
        <w:t xml:space="preserve"> critical philosophical problems by reference to the uses of words in ordinary human practices.  Especially</w:t>
      </w:r>
      <w:r w:rsidR="006A7ECB" w:rsidRPr="00BB7B9A">
        <w:rPr>
          <w:rFonts w:ascii="Times New Roman" w:hAnsi="Times New Roman" w:cs="Times New Roman" w:hint="eastAsia"/>
          <w:sz w:val="22"/>
        </w:rPr>
        <w:t>,</w:t>
      </w:r>
      <w:r w:rsidR="004A38B8" w:rsidRPr="00BB7B9A">
        <w:rPr>
          <w:rFonts w:ascii="Times New Roman" w:hAnsi="Times New Roman" w:cs="Times New Roman"/>
          <w:sz w:val="22"/>
        </w:rPr>
        <w:t xml:space="preserve"> he takes </w:t>
      </w:r>
      <w:r w:rsidR="000F2C72">
        <w:rPr>
          <w:rFonts w:ascii="Times New Roman" w:hAnsi="Times New Roman" w:cs="Times New Roman" w:hint="eastAsia"/>
          <w:sz w:val="22"/>
        </w:rPr>
        <w:t xml:space="preserve">as </w:t>
      </w:r>
      <w:r w:rsidR="004A38B8" w:rsidRPr="00BB7B9A">
        <w:rPr>
          <w:rFonts w:ascii="Times New Roman" w:hAnsi="Times New Roman" w:cs="Times New Roman"/>
          <w:sz w:val="22"/>
        </w:rPr>
        <w:t>his philosophical task to clear away</w:t>
      </w:r>
      <w:r w:rsidR="006A7ECB" w:rsidRPr="00BB7B9A">
        <w:rPr>
          <w:rFonts w:ascii="Times New Roman" w:hAnsi="Times New Roman" w:cs="Times New Roman" w:hint="eastAsia"/>
          <w:sz w:val="22"/>
        </w:rPr>
        <w:t xml:space="preserve"> m</w:t>
      </w:r>
      <w:r w:rsidR="004A38B8" w:rsidRPr="00BB7B9A">
        <w:rPr>
          <w:rFonts w:ascii="Times New Roman" w:hAnsi="Times New Roman" w:cs="Times New Roman"/>
          <w:sz w:val="22"/>
        </w:rPr>
        <w:t>isunderstandings concerning the use of words in philosophy caused by certain analogies between the forms of expression in different regions of language.</w:t>
      </w:r>
      <w:r w:rsidR="004A38B8" w:rsidRPr="00BB7B9A">
        <w:rPr>
          <w:rFonts w:ascii="Times New Roman" w:hAnsi="Times New Roman" w:cs="Times New Roman" w:hint="eastAsia"/>
          <w:sz w:val="22"/>
        </w:rPr>
        <w:t xml:space="preserve"> </w:t>
      </w:r>
      <w:r w:rsidR="000F2C72">
        <w:rPr>
          <w:rFonts w:ascii="Times New Roman" w:hAnsi="Times New Roman" w:cs="Times New Roman" w:hint="eastAsia"/>
          <w:sz w:val="22"/>
        </w:rPr>
        <w:t xml:space="preserve"> </w:t>
      </w:r>
      <w:r w:rsidR="000F2C72" w:rsidRPr="000F2C72">
        <w:rPr>
          <w:rFonts w:ascii="Times New Roman" w:hAnsi="Times New Roman" w:cs="Times New Roman"/>
          <w:sz w:val="22"/>
        </w:rPr>
        <w:t xml:space="preserve">For Wittgenstein, language is both the source of philosophical problems and the means to overcome them.  In his masterpiece </w:t>
      </w:r>
      <w:r w:rsidR="000F2C72" w:rsidRPr="000F2C72">
        <w:rPr>
          <w:rFonts w:ascii="Times New Roman" w:hAnsi="Times New Roman" w:cs="Times New Roman"/>
          <w:i/>
          <w:sz w:val="22"/>
        </w:rPr>
        <w:t>Philosophical Investigations</w:t>
      </w:r>
      <w:r w:rsidR="000F2C72" w:rsidRPr="000F2C72">
        <w:rPr>
          <w:rFonts w:ascii="Times New Roman" w:hAnsi="Times New Roman" w:cs="Times New Roman"/>
          <w:sz w:val="22"/>
        </w:rPr>
        <w:t>, he writes; “When philosophers use a word – ‘knowledge’, ‘being’, ‘object’, ‘I’, ‘proposition’, ‘name’ – and try to grasp the essence of the thing, one must always ask oneself: is the word ever actually used in this way in the language-game which is its original home? – What we do is to bring words back from their metaphysical to their everyday use” (</w:t>
      </w:r>
      <w:r w:rsidR="000F2C72" w:rsidRPr="000F2C72">
        <w:rPr>
          <w:rFonts w:ascii="Times New Roman" w:hAnsi="Times New Roman" w:cs="Times New Roman"/>
          <w:i/>
          <w:sz w:val="22"/>
        </w:rPr>
        <w:t>PI</w:t>
      </w:r>
      <w:r w:rsidR="000F2C72" w:rsidRPr="000F2C72">
        <w:rPr>
          <w:rFonts w:ascii="Times New Roman" w:hAnsi="Times New Roman" w:cs="Times New Roman" w:hint="eastAsia"/>
          <w:sz w:val="22"/>
        </w:rPr>
        <w:t xml:space="preserve"> </w:t>
      </w:r>
      <w:r w:rsidR="000F2C72" w:rsidRPr="000F2C72">
        <w:rPr>
          <w:rFonts w:ascii="Times New Roman" w:hAnsi="Times New Roman" w:cs="Times New Roman"/>
          <w:sz w:val="22"/>
        </w:rPr>
        <w:t xml:space="preserve">§116).  </w:t>
      </w:r>
    </w:p>
    <w:p w:rsidR="000F2C72" w:rsidRPr="008845B5" w:rsidRDefault="000F2C72" w:rsidP="008845B5">
      <w:pPr>
        <w:wordWrap/>
        <w:spacing w:line="360" w:lineRule="auto"/>
        <w:ind w:firstLine="800"/>
        <w:jc w:val="left"/>
        <w:rPr>
          <w:rFonts w:ascii="Times New Roman" w:hAnsi="Times New Roman" w:cs="Times New Roman"/>
          <w:sz w:val="22"/>
        </w:rPr>
      </w:pPr>
      <w:r w:rsidRPr="000F2C72">
        <w:rPr>
          <w:rFonts w:ascii="Times New Roman" w:hAnsi="Times New Roman" w:cs="Times New Roman"/>
          <w:sz w:val="22"/>
        </w:rPr>
        <w:t xml:space="preserve">This </w:t>
      </w:r>
      <w:r>
        <w:rPr>
          <w:rFonts w:ascii="Times New Roman" w:hAnsi="Times New Roman" w:cs="Times New Roman" w:hint="eastAsia"/>
          <w:sz w:val="22"/>
        </w:rPr>
        <w:t>essay</w:t>
      </w:r>
      <w:r w:rsidRPr="000F2C72">
        <w:rPr>
          <w:rFonts w:ascii="Times New Roman" w:hAnsi="Times New Roman" w:cs="Times New Roman"/>
          <w:sz w:val="22"/>
        </w:rPr>
        <w:t xml:space="preserve"> begins with the belief that it is worthwhile to ask about the sociological language the kinds of questions that Wittgenstein asked about philosophical language, and to participate in the battle against the confusions that ha</w:t>
      </w:r>
      <w:r w:rsidRPr="000F2C72">
        <w:rPr>
          <w:rFonts w:ascii="Times New Roman" w:hAnsi="Times New Roman" w:cs="Times New Roman" w:hint="eastAsia"/>
          <w:sz w:val="22"/>
        </w:rPr>
        <w:t>ve</w:t>
      </w:r>
      <w:r w:rsidRPr="000F2C72">
        <w:rPr>
          <w:rFonts w:ascii="Times New Roman" w:hAnsi="Times New Roman" w:cs="Times New Roman"/>
          <w:sz w:val="22"/>
        </w:rPr>
        <w:t xml:space="preserve"> been generated by the mystified use of language or, in Kitching’</w:t>
      </w:r>
      <w:r w:rsidRPr="000F2C72">
        <w:rPr>
          <w:rFonts w:ascii="Times New Roman" w:hAnsi="Times New Roman" w:cs="Times New Roman" w:hint="eastAsia"/>
          <w:sz w:val="22"/>
        </w:rPr>
        <w:t>s</w:t>
      </w:r>
      <w:r w:rsidRPr="000F2C72">
        <w:rPr>
          <w:rFonts w:ascii="Times New Roman" w:hAnsi="Times New Roman" w:cs="Times New Roman"/>
          <w:sz w:val="22"/>
        </w:rPr>
        <w:t xml:space="preserve"> (2003) words, “confusions that may be generated by the processes of extension involved in our analogies and metaphors” (66). </w:t>
      </w:r>
      <w:r w:rsidR="005A001A">
        <w:rPr>
          <w:rFonts w:ascii="Times New Roman" w:hAnsi="Times New Roman" w:cs="Times New Roman" w:hint="eastAsia"/>
          <w:sz w:val="22"/>
        </w:rPr>
        <w:t xml:space="preserve"> </w:t>
      </w:r>
      <w:r w:rsidRPr="000F2C72">
        <w:rPr>
          <w:rFonts w:ascii="Times New Roman" w:hAnsi="Times New Roman" w:cs="Times New Roman"/>
          <w:sz w:val="22"/>
        </w:rPr>
        <w:t xml:space="preserve">Wittgenstein’s replacement of the search for epistemological essences by the search for </w:t>
      </w:r>
      <w:r w:rsidR="008845B5">
        <w:rPr>
          <w:rFonts w:ascii="Times New Roman" w:hAnsi="Times New Roman" w:cs="Times New Roman"/>
          <w:sz w:val="22"/>
        </w:rPr>
        <w:t>‘</w:t>
      </w:r>
      <w:r w:rsidRPr="000F2C72">
        <w:rPr>
          <w:rFonts w:ascii="Times New Roman" w:hAnsi="Times New Roman" w:cs="Times New Roman"/>
          <w:sz w:val="22"/>
        </w:rPr>
        <w:t>perspicuity,</w:t>
      </w:r>
      <w:r w:rsidR="008845B5">
        <w:rPr>
          <w:rFonts w:ascii="Times New Roman" w:hAnsi="Times New Roman" w:cs="Times New Roman"/>
          <w:sz w:val="22"/>
        </w:rPr>
        <w:t>’</w:t>
      </w:r>
      <w:r w:rsidRPr="000F2C72">
        <w:rPr>
          <w:rFonts w:ascii="Times New Roman" w:hAnsi="Times New Roman" w:cs="Times New Roman"/>
          <w:sz w:val="22"/>
        </w:rPr>
        <w:t xml:space="preserve"> i.e. the clear view of language use, consti</w:t>
      </w:r>
      <w:r w:rsidR="00C24367">
        <w:rPr>
          <w:rFonts w:ascii="Times New Roman" w:hAnsi="Times New Roman" w:cs="Times New Roman"/>
          <w:sz w:val="22"/>
        </w:rPr>
        <w:t xml:space="preserve">tutes the general motor </w:t>
      </w:r>
      <w:r w:rsidR="00C24367">
        <w:rPr>
          <w:rFonts w:ascii="Times New Roman" w:hAnsi="Times New Roman" w:cs="Times New Roman" w:hint="eastAsia"/>
          <w:sz w:val="22"/>
        </w:rPr>
        <w:t xml:space="preserve">in discussing the conceptual problems in employing the </w:t>
      </w:r>
      <w:r w:rsidR="00C24367">
        <w:rPr>
          <w:rFonts w:ascii="Times New Roman" w:hAnsi="Times New Roman" w:cs="Times New Roman"/>
          <w:sz w:val="22"/>
        </w:rPr>
        <w:t>concept</w:t>
      </w:r>
      <w:r w:rsidR="00C24367">
        <w:rPr>
          <w:rFonts w:ascii="Times New Roman" w:hAnsi="Times New Roman" w:cs="Times New Roman" w:hint="eastAsia"/>
          <w:sz w:val="22"/>
        </w:rPr>
        <w:t xml:space="preserve"> of the sacred in </w:t>
      </w:r>
      <w:r w:rsidR="00C24367">
        <w:rPr>
          <w:rFonts w:ascii="Times New Roman" w:hAnsi="Times New Roman" w:cs="Times New Roman"/>
          <w:sz w:val="22"/>
        </w:rPr>
        <w:t>the</w:t>
      </w:r>
      <w:r w:rsidR="00C24367">
        <w:rPr>
          <w:rFonts w:ascii="Times New Roman" w:hAnsi="Times New Roman" w:cs="Times New Roman" w:hint="eastAsia"/>
          <w:sz w:val="22"/>
        </w:rPr>
        <w:t xml:space="preserve"> sociology of religion. </w:t>
      </w:r>
      <w:r w:rsidR="00AF1241">
        <w:rPr>
          <w:rFonts w:ascii="Times New Roman" w:hAnsi="Times New Roman" w:cs="Times New Roman" w:hint="eastAsia"/>
          <w:sz w:val="22"/>
        </w:rPr>
        <w:t xml:space="preserve"> </w:t>
      </w:r>
    </w:p>
    <w:p w:rsidR="00F60416" w:rsidRPr="000F2C72" w:rsidRDefault="00F60416" w:rsidP="00BB7B9A">
      <w:pPr>
        <w:wordWrap/>
        <w:spacing w:line="360" w:lineRule="auto"/>
        <w:jc w:val="left"/>
        <w:rPr>
          <w:rFonts w:ascii="Times New Roman" w:hAnsi="Times New Roman" w:cs="Times New Roman"/>
          <w:sz w:val="22"/>
        </w:rPr>
      </w:pPr>
    </w:p>
    <w:p w:rsidR="000F2C72" w:rsidRPr="000F2C72" w:rsidRDefault="000F2C72" w:rsidP="000F2C72">
      <w:pPr>
        <w:pStyle w:val="a9"/>
        <w:numPr>
          <w:ilvl w:val="0"/>
          <w:numId w:val="28"/>
        </w:numPr>
        <w:spacing w:line="360" w:lineRule="auto"/>
        <w:ind w:leftChars="0"/>
        <w:rPr>
          <w:sz w:val="22"/>
        </w:rPr>
      </w:pPr>
      <w:r>
        <w:rPr>
          <w:rFonts w:eastAsiaTheme="minorEastAsia" w:hint="eastAsia"/>
          <w:sz w:val="22"/>
          <w:lang w:eastAsia="ko-KR"/>
        </w:rPr>
        <w:t>From the Mystical to Practice</w:t>
      </w:r>
    </w:p>
    <w:p w:rsidR="000F2C72" w:rsidRPr="000F2C72" w:rsidRDefault="000F2C72" w:rsidP="00BB7B9A">
      <w:pPr>
        <w:wordWrap/>
        <w:spacing w:line="360" w:lineRule="auto"/>
        <w:jc w:val="left"/>
        <w:rPr>
          <w:rFonts w:ascii="Times New Roman" w:hAnsi="Times New Roman" w:cs="Times New Roman"/>
          <w:sz w:val="22"/>
        </w:rPr>
      </w:pPr>
    </w:p>
    <w:p w:rsidR="006A7ECB" w:rsidRPr="00BB7B9A" w:rsidRDefault="006A7ECB" w:rsidP="000F2C72">
      <w:pPr>
        <w:wordWrap/>
        <w:spacing w:line="360" w:lineRule="auto"/>
        <w:jc w:val="left"/>
        <w:rPr>
          <w:rFonts w:ascii="Times New Roman" w:hAnsi="Times New Roman" w:cs="Times New Roman"/>
          <w:sz w:val="22"/>
        </w:rPr>
      </w:pPr>
      <w:r w:rsidRPr="00BB7B9A">
        <w:rPr>
          <w:rFonts w:ascii="Times New Roman" w:hAnsi="Times New Roman" w:cs="Times New Roman"/>
          <w:sz w:val="22"/>
        </w:rPr>
        <w:t xml:space="preserve">The fundamental moral vision of his early work was the doctrine of the inexpressibility or ineffability of the (absolute) value; the domain of fact is devoid of value and the domain of value has nothing to do with particular facts, he argued.  In a sharp distinction between fact and value, Wittgenstein confines religion to the realm of the </w:t>
      </w:r>
      <w:r w:rsidRPr="002D0BE4">
        <w:rPr>
          <w:rFonts w:ascii="Times New Roman" w:hAnsi="Times New Roman" w:cs="Times New Roman"/>
          <w:i/>
          <w:sz w:val="22"/>
        </w:rPr>
        <w:t>unsayable</w:t>
      </w:r>
      <w:r w:rsidRPr="00BB7B9A">
        <w:rPr>
          <w:rFonts w:ascii="Times New Roman" w:hAnsi="Times New Roman" w:cs="Times New Roman"/>
          <w:sz w:val="22"/>
        </w:rPr>
        <w:t xml:space="preserve">, that which falls outside the limits of what can be said.  If we try to express religion in terms of empirical propositions, the result is nonsense because the discourse of religion lacks the pictorial relation to the world which, he believed, is essential for having </w:t>
      </w:r>
      <w:r w:rsidRPr="00BB7B9A">
        <w:rPr>
          <w:rFonts w:ascii="Times New Roman" w:hAnsi="Times New Roman" w:cs="Times New Roman"/>
          <w:sz w:val="22"/>
        </w:rPr>
        <w:lastRenderedPageBreak/>
        <w:t xml:space="preserve">meaning.  The religious matters, along with the ethical and the aesthetic, are “things that cannot be put into words.  They </w:t>
      </w:r>
      <w:r w:rsidRPr="00BB7B9A">
        <w:rPr>
          <w:rFonts w:ascii="Times New Roman" w:hAnsi="Times New Roman" w:cs="Times New Roman"/>
          <w:i/>
          <w:sz w:val="22"/>
        </w:rPr>
        <w:t>make themselves manifest</w:t>
      </w:r>
      <w:r w:rsidRPr="00BB7B9A">
        <w:rPr>
          <w:rFonts w:ascii="Times New Roman" w:hAnsi="Times New Roman" w:cs="Times New Roman"/>
          <w:sz w:val="22"/>
        </w:rPr>
        <w:t>.  They are what is mystical” (</w:t>
      </w:r>
      <w:r w:rsidRPr="00BB7B9A">
        <w:rPr>
          <w:rFonts w:ascii="Times New Roman" w:hAnsi="Times New Roman" w:cs="Times New Roman"/>
          <w:i/>
          <w:sz w:val="22"/>
        </w:rPr>
        <w:t>TLP</w:t>
      </w:r>
      <w:r w:rsidRPr="00BB7B9A">
        <w:rPr>
          <w:rFonts w:ascii="Times New Roman" w:hAnsi="Times New Roman" w:cs="Times New Roman"/>
          <w:sz w:val="22"/>
        </w:rPr>
        <w:t xml:space="preserve"> 6.522).  Wittgenstein conceived of ‘the mystical’ as transcending the limits of language and it manifests itself to us in certain experiences, as it does in the experience of finding the existence of the world miraculous.  “Whereof one cannot speak, thereof one must be silent” (</w:t>
      </w:r>
      <w:r w:rsidRPr="00BB7B9A">
        <w:rPr>
          <w:rFonts w:ascii="Times New Roman" w:hAnsi="Times New Roman" w:cs="Times New Roman"/>
          <w:i/>
          <w:sz w:val="22"/>
        </w:rPr>
        <w:t>TLP</w:t>
      </w:r>
      <w:r w:rsidRPr="00BB7B9A">
        <w:rPr>
          <w:rFonts w:ascii="Times New Roman" w:hAnsi="Times New Roman" w:cs="Times New Roman"/>
          <w:sz w:val="22"/>
        </w:rPr>
        <w:t xml:space="preserve"> 7).  In his later works, however, the silence is broken.  The infinite gulf between what can be said and what can be shown - between human language and the mystical – no longer exists.  As the atomistic picture is repudiated and his philosophical interest moves to the actual workings of language, the doctrine of the ineffability of absolute value is abandoned and religious expressions </w:t>
      </w:r>
      <w:r w:rsidRPr="00BB7B9A">
        <w:rPr>
          <w:rFonts w:ascii="Times New Roman" w:hAnsi="Times New Roman" w:cs="Times New Roman" w:hint="eastAsia"/>
          <w:sz w:val="22"/>
        </w:rPr>
        <w:t xml:space="preserve">are understood to </w:t>
      </w:r>
      <w:r w:rsidRPr="00BB7B9A">
        <w:rPr>
          <w:rFonts w:ascii="Times New Roman" w:hAnsi="Times New Roman" w:cs="Times New Roman"/>
          <w:sz w:val="22"/>
        </w:rPr>
        <w:t xml:space="preserve">have meaning in religious practices.  There is nothing ineffable about religion, but a proper understanding of religious utterances requires an apprehension of </w:t>
      </w:r>
      <w:r w:rsidRPr="00BB7B9A">
        <w:rPr>
          <w:rFonts w:ascii="Times New Roman" w:hAnsi="Times New Roman" w:cs="Times New Roman" w:hint="eastAsia"/>
          <w:sz w:val="22"/>
        </w:rPr>
        <w:t>their</w:t>
      </w:r>
      <w:r w:rsidRPr="00BB7B9A">
        <w:rPr>
          <w:rFonts w:ascii="Times New Roman" w:hAnsi="Times New Roman" w:cs="Times New Roman"/>
          <w:sz w:val="22"/>
        </w:rPr>
        <w:t xml:space="preserve"> role within the distinctive form of life or culture to which </w:t>
      </w:r>
      <w:r w:rsidRPr="00BB7B9A">
        <w:rPr>
          <w:rFonts w:ascii="Times New Roman" w:hAnsi="Times New Roman" w:cs="Times New Roman" w:hint="eastAsia"/>
          <w:sz w:val="22"/>
        </w:rPr>
        <w:t>they</w:t>
      </w:r>
      <w:r w:rsidRPr="00BB7B9A">
        <w:rPr>
          <w:rFonts w:ascii="Times New Roman" w:hAnsi="Times New Roman" w:cs="Times New Roman"/>
          <w:sz w:val="22"/>
        </w:rPr>
        <w:t xml:space="preserve"> belong (Hacker 2001</w:t>
      </w:r>
      <w:r w:rsidRPr="00BB7B9A">
        <w:rPr>
          <w:rFonts w:ascii="Times New Roman" w:hAnsi="Times New Roman" w:cs="Times New Roman" w:hint="eastAsia"/>
          <w:sz w:val="22"/>
        </w:rPr>
        <w:t>,</w:t>
      </w:r>
      <w:r w:rsidRPr="00BB7B9A">
        <w:rPr>
          <w:rFonts w:ascii="Times New Roman" w:hAnsi="Times New Roman" w:cs="Times New Roman"/>
          <w:sz w:val="22"/>
        </w:rPr>
        <w:t xml:space="preserve"> 39).  Religious expressions are modes of discourse like any other ones with their own rules of conduct within which what is expressed has meaning.  Thus, the task of the later work is to elucidate the distinctive character – the specific grammar – of religious discourse by careful attention to the way in which religious language works in practice.  </w:t>
      </w:r>
    </w:p>
    <w:p w:rsidR="004A38B8" w:rsidRDefault="006A7ECB" w:rsidP="00B40D77">
      <w:pPr>
        <w:wordWrap/>
        <w:spacing w:line="360" w:lineRule="auto"/>
        <w:ind w:firstLine="800"/>
        <w:jc w:val="left"/>
        <w:rPr>
          <w:rFonts w:ascii="Times New Roman" w:hAnsi="Times New Roman" w:cs="Times New Roman"/>
          <w:sz w:val="22"/>
        </w:rPr>
      </w:pPr>
      <w:r w:rsidRPr="00BB7B9A">
        <w:rPr>
          <w:rFonts w:ascii="Times New Roman" w:hAnsi="Times New Roman" w:cs="Times New Roman"/>
          <w:sz w:val="22"/>
        </w:rPr>
        <w:t xml:space="preserve">The transition from ‘the mystical’ to ‘practice’ implies that </w:t>
      </w:r>
      <w:r w:rsidRPr="00BB7B9A">
        <w:rPr>
          <w:rFonts w:ascii="Times New Roman" w:hAnsi="Times New Roman" w:cs="Times New Roman" w:hint="eastAsia"/>
          <w:sz w:val="22"/>
        </w:rPr>
        <w:t xml:space="preserve">any </w:t>
      </w:r>
      <w:r w:rsidRPr="00BB7B9A">
        <w:rPr>
          <w:rFonts w:ascii="Times New Roman" w:hAnsi="Times New Roman" w:cs="Times New Roman"/>
          <w:sz w:val="22"/>
        </w:rPr>
        <w:t>religious phenomen</w:t>
      </w:r>
      <w:r w:rsidRPr="00BB7B9A">
        <w:rPr>
          <w:rFonts w:ascii="Times New Roman" w:hAnsi="Times New Roman" w:cs="Times New Roman" w:hint="eastAsia"/>
          <w:sz w:val="22"/>
        </w:rPr>
        <w:t>on</w:t>
      </w:r>
      <w:r w:rsidRPr="00BB7B9A">
        <w:rPr>
          <w:rFonts w:ascii="Times New Roman" w:hAnsi="Times New Roman" w:cs="Times New Roman"/>
          <w:sz w:val="22"/>
        </w:rPr>
        <w:t xml:space="preserve"> can be an object of understanding whose meaning can be known via a systematic elucidation of its grammar.  Indeed, Wittgenstein’s later vision opens up the possibility of accessing the mystical realm which had admittedly been cut off from mundane reality since it is religious practices in which diverse religious discourses have their home and within which they gain their coherence and intelligibility.  In his </w:t>
      </w:r>
      <w:r w:rsidRPr="00BB7B9A">
        <w:rPr>
          <w:rFonts w:ascii="Times New Roman" w:hAnsi="Times New Roman" w:cs="Times New Roman"/>
          <w:i/>
          <w:sz w:val="22"/>
        </w:rPr>
        <w:t>Remarks on Frazer’s Golden Bough</w:t>
      </w:r>
      <w:r w:rsidRPr="00BB7B9A">
        <w:rPr>
          <w:rFonts w:ascii="Times New Roman" w:hAnsi="Times New Roman" w:cs="Times New Roman"/>
          <w:sz w:val="22"/>
        </w:rPr>
        <w:t xml:space="preserve">, as he writes, “For no phenomenon is in itself particularly mysterious, but any of them can become so to us, and the characteristic feature of the awakening mind of man is precisely the fact that a phenomenon comes to have meaning for him” (129). </w:t>
      </w:r>
      <w:r w:rsidR="00B40D77">
        <w:rPr>
          <w:rFonts w:ascii="Times New Roman" w:hAnsi="Times New Roman" w:cs="Times New Roman" w:hint="eastAsia"/>
          <w:sz w:val="22"/>
        </w:rPr>
        <w:t xml:space="preserve"> </w:t>
      </w:r>
    </w:p>
    <w:p w:rsidR="00E87C3B" w:rsidRPr="00BB7B9A" w:rsidRDefault="00E87C3B" w:rsidP="00AF1241">
      <w:pPr>
        <w:wordWrap/>
        <w:spacing w:line="360" w:lineRule="auto"/>
        <w:ind w:firstLine="720"/>
        <w:jc w:val="left"/>
        <w:rPr>
          <w:rFonts w:ascii="Times New Roman" w:hAnsi="Times New Roman" w:cs="Times New Roman"/>
          <w:sz w:val="22"/>
        </w:rPr>
      </w:pPr>
      <w:r w:rsidRPr="00BB7B9A">
        <w:rPr>
          <w:rFonts w:ascii="Times New Roman" w:hAnsi="Times New Roman" w:cs="Times New Roman"/>
          <w:sz w:val="22"/>
        </w:rPr>
        <w:t xml:space="preserve">In his book </w:t>
      </w:r>
      <w:r w:rsidRPr="00BB7B9A">
        <w:rPr>
          <w:rFonts w:ascii="Times New Roman" w:hAnsi="Times New Roman" w:cs="Times New Roman"/>
          <w:i/>
          <w:sz w:val="22"/>
        </w:rPr>
        <w:t>The Sociological Tradition</w:t>
      </w:r>
      <w:r w:rsidRPr="00BB7B9A">
        <w:rPr>
          <w:rFonts w:ascii="Times New Roman" w:hAnsi="Times New Roman" w:cs="Times New Roman"/>
          <w:sz w:val="22"/>
        </w:rPr>
        <w:t xml:space="preserve">, Robert A. Nisbet (1966) wrote that “no other single concept is suggestive of the unique role held by sociology among the social sciences in the nineteenth century, or as reflective of its underlying premises about the nature of man and society as the concept of the sacred” (221).  Indeed, early social thinkers have vigorously utilized the concept of the sacred in understanding human society during </w:t>
      </w:r>
      <w:r w:rsidR="00B40D77">
        <w:rPr>
          <w:rFonts w:ascii="Times New Roman" w:hAnsi="Times New Roman" w:cs="Times New Roman" w:hint="eastAsia"/>
          <w:sz w:val="22"/>
        </w:rPr>
        <w:t xml:space="preserve">even </w:t>
      </w:r>
      <w:r w:rsidRPr="00BB7B9A">
        <w:rPr>
          <w:rFonts w:ascii="Times New Roman" w:hAnsi="Times New Roman" w:cs="Times New Roman"/>
          <w:sz w:val="22"/>
        </w:rPr>
        <w:t>radically secularizing period</w:t>
      </w:r>
      <w:r w:rsidRPr="00BB7B9A">
        <w:rPr>
          <w:rFonts w:ascii="Times New Roman" w:hAnsi="Times New Roman" w:cs="Times New Roman" w:hint="eastAsia"/>
          <w:sz w:val="22"/>
        </w:rPr>
        <w:t>s</w:t>
      </w:r>
      <w:r w:rsidRPr="00BB7B9A">
        <w:rPr>
          <w:rFonts w:ascii="Times New Roman" w:hAnsi="Times New Roman" w:cs="Times New Roman"/>
          <w:sz w:val="22"/>
        </w:rPr>
        <w:t>.  For instance, Emile Durkheim’s famous dichotomy of ‘the sacred and the profane,’ Max Weber’s concept of ‘charisma,’ and Simmel’s</w:t>
      </w:r>
      <w:r w:rsidR="00B40D77">
        <w:rPr>
          <w:rFonts w:ascii="Times New Roman" w:hAnsi="Times New Roman" w:cs="Times New Roman" w:hint="eastAsia"/>
          <w:sz w:val="22"/>
        </w:rPr>
        <w:t xml:space="preserve"> </w:t>
      </w:r>
      <w:r w:rsidR="00B40D77">
        <w:rPr>
          <w:rFonts w:ascii="Times New Roman" w:hAnsi="Times New Roman" w:cs="Times New Roman"/>
          <w:sz w:val="22"/>
        </w:rPr>
        <w:t>‘</w:t>
      </w:r>
      <w:r w:rsidR="00B40D77">
        <w:rPr>
          <w:rFonts w:ascii="Times New Roman" w:hAnsi="Times New Roman" w:cs="Times New Roman" w:hint="eastAsia"/>
          <w:sz w:val="22"/>
        </w:rPr>
        <w:t>piety</w:t>
      </w:r>
      <w:r w:rsidR="00B40D77">
        <w:rPr>
          <w:rFonts w:ascii="Times New Roman" w:hAnsi="Times New Roman" w:cs="Times New Roman"/>
          <w:sz w:val="22"/>
        </w:rPr>
        <w:t>’</w:t>
      </w:r>
      <w:r w:rsidR="00B40D77">
        <w:rPr>
          <w:rFonts w:ascii="Times New Roman" w:hAnsi="Times New Roman" w:cs="Times New Roman" w:hint="eastAsia"/>
          <w:sz w:val="22"/>
        </w:rPr>
        <w:t xml:space="preserve"> or</w:t>
      </w:r>
      <w:r w:rsidRPr="00BB7B9A">
        <w:rPr>
          <w:rFonts w:ascii="Times New Roman" w:hAnsi="Times New Roman" w:cs="Times New Roman"/>
          <w:sz w:val="22"/>
        </w:rPr>
        <w:t xml:space="preserve"> ‘religiosity’ all reveal a fascination with the religio</w:t>
      </w:r>
      <w:r w:rsidR="00B40D77">
        <w:rPr>
          <w:rFonts w:ascii="Times New Roman" w:hAnsi="Times New Roman" w:cs="Times New Roman" w:hint="eastAsia"/>
          <w:sz w:val="22"/>
        </w:rPr>
        <w:t>-sacred</w:t>
      </w:r>
      <w:r w:rsidRPr="00BB7B9A">
        <w:rPr>
          <w:rFonts w:ascii="Times New Roman" w:hAnsi="Times New Roman" w:cs="Times New Roman"/>
          <w:sz w:val="22"/>
        </w:rPr>
        <w:t xml:space="preserve"> concepts</w:t>
      </w:r>
      <w:r w:rsidRPr="00BB7B9A">
        <w:rPr>
          <w:rFonts w:ascii="Times New Roman" w:hAnsi="Times New Roman" w:cs="Times New Roman" w:hint="eastAsia"/>
          <w:sz w:val="22"/>
        </w:rPr>
        <w:t xml:space="preserve"> involved</w:t>
      </w:r>
      <w:r w:rsidRPr="00BB7B9A">
        <w:rPr>
          <w:rFonts w:ascii="Times New Roman" w:hAnsi="Times New Roman" w:cs="Times New Roman"/>
          <w:sz w:val="22"/>
        </w:rPr>
        <w:t xml:space="preserve"> in understanding human society.  Even in </w:t>
      </w:r>
      <w:r w:rsidRPr="00BB7B9A">
        <w:rPr>
          <w:rFonts w:ascii="Times New Roman" w:hAnsi="Times New Roman" w:cs="Times New Roman" w:hint="eastAsia"/>
          <w:sz w:val="22"/>
        </w:rPr>
        <w:t xml:space="preserve">a </w:t>
      </w:r>
      <w:r w:rsidRPr="00BB7B9A">
        <w:rPr>
          <w:rFonts w:ascii="Times New Roman" w:hAnsi="Times New Roman" w:cs="Times New Roman"/>
          <w:sz w:val="22"/>
        </w:rPr>
        <w:t xml:space="preserve">later period of sociological development the concept of the sacred </w:t>
      </w:r>
      <w:r w:rsidRPr="00BB7B9A">
        <w:rPr>
          <w:rFonts w:ascii="Times New Roman" w:hAnsi="Times New Roman" w:cs="Times New Roman" w:hint="eastAsia"/>
          <w:sz w:val="22"/>
        </w:rPr>
        <w:t xml:space="preserve">has </w:t>
      </w:r>
      <w:r w:rsidRPr="00BB7B9A">
        <w:rPr>
          <w:rFonts w:ascii="Times New Roman" w:hAnsi="Times New Roman" w:cs="Times New Roman"/>
          <w:sz w:val="22"/>
        </w:rPr>
        <w:t xml:space="preserve">been regarded by many social theorists as a crucial element for their theorizing.  The pervasive influence of the concept of the sacred upon the development of social theory only proves </w:t>
      </w:r>
      <w:r w:rsidRPr="00BB7B9A">
        <w:rPr>
          <w:rFonts w:ascii="Times New Roman" w:hAnsi="Times New Roman" w:cs="Times New Roman" w:hint="eastAsia"/>
          <w:sz w:val="22"/>
        </w:rPr>
        <w:t>its</w:t>
      </w:r>
      <w:r w:rsidRPr="00BB7B9A">
        <w:rPr>
          <w:rFonts w:ascii="Times New Roman" w:hAnsi="Times New Roman" w:cs="Times New Roman"/>
          <w:sz w:val="22"/>
        </w:rPr>
        <w:t xml:space="preserve"> theoretical value in understanding society.  For those who have searched for the sacred in modern society, the sacred has a constant existence, that is, it has an eternal feature evident in social life, the representation of which changes endlessly according to the passage of time. </w:t>
      </w:r>
      <w:r w:rsidR="005A001A">
        <w:rPr>
          <w:rFonts w:ascii="Times New Roman" w:hAnsi="Times New Roman" w:cs="Times New Roman" w:hint="eastAsia"/>
          <w:sz w:val="22"/>
        </w:rPr>
        <w:t xml:space="preserve"> M</w:t>
      </w:r>
      <w:r w:rsidRPr="00BB7B9A">
        <w:rPr>
          <w:rFonts w:ascii="Times New Roman" w:hAnsi="Times New Roman" w:cs="Times New Roman"/>
          <w:sz w:val="22"/>
        </w:rPr>
        <w:t xml:space="preserve">any scholars have tried to identify the sacred as the indispensable and vital element of social reality in general beyond </w:t>
      </w:r>
      <w:r w:rsidRPr="00BB7B9A">
        <w:rPr>
          <w:rFonts w:ascii="Times New Roman" w:hAnsi="Times New Roman" w:cs="Times New Roman"/>
          <w:sz w:val="22"/>
        </w:rPr>
        <w:lastRenderedPageBreak/>
        <w:t>narrowly defined institutionalized religions.  For them, the sacred did not vanish into air even after the traditional religions lost their power and status as a source of morality.  The concept of the sacred has been used by scholars</w:t>
      </w:r>
      <w:r w:rsidRPr="00BB7B9A">
        <w:rPr>
          <w:rFonts w:ascii="Times New Roman" w:hAnsi="Times New Roman" w:cs="Times New Roman" w:hint="eastAsia"/>
          <w:sz w:val="22"/>
        </w:rPr>
        <w:t>,</w:t>
      </w:r>
      <w:r w:rsidRPr="00BB7B9A">
        <w:rPr>
          <w:rFonts w:ascii="Times New Roman" w:hAnsi="Times New Roman" w:cs="Times New Roman"/>
          <w:sz w:val="22"/>
        </w:rPr>
        <w:t xml:space="preserve"> especially anthropologists and sociologists</w:t>
      </w:r>
      <w:r w:rsidRPr="00BB7B9A">
        <w:rPr>
          <w:rFonts w:ascii="Times New Roman" w:hAnsi="Times New Roman" w:cs="Times New Roman" w:hint="eastAsia"/>
          <w:sz w:val="22"/>
        </w:rPr>
        <w:t>,</w:t>
      </w:r>
      <w:r w:rsidRPr="00BB7B9A">
        <w:rPr>
          <w:rFonts w:ascii="Times New Roman" w:hAnsi="Times New Roman" w:cs="Times New Roman"/>
          <w:sz w:val="22"/>
        </w:rPr>
        <w:t xml:space="preserve"> from a wide variety of perspectives seeking to interpret religion with varying descriptive and evaluative connotations. </w:t>
      </w:r>
    </w:p>
    <w:p w:rsidR="00E87C3B" w:rsidRPr="00BB7B9A" w:rsidRDefault="00E87C3B" w:rsidP="00BB7B9A">
      <w:pPr>
        <w:wordWrap/>
        <w:spacing w:line="360" w:lineRule="auto"/>
        <w:ind w:firstLine="720"/>
        <w:jc w:val="left"/>
        <w:rPr>
          <w:rFonts w:ascii="Times New Roman" w:hAnsi="Times New Roman" w:cs="Times New Roman"/>
          <w:sz w:val="22"/>
        </w:rPr>
      </w:pPr>
      <w:r w:rsidRPr="00BB7B9A">
        <w:rPr>
          <w:rFonts w:ascii="Times New Roman" w:hAnsi="Times New Roman" w:cs="Times New Roman"/>
          <w:sz w:val="22"/>
        </w:rPr>
        <w:t>In Durkheim’s theory, the sacred has been considered as the central characteristic of religion.  As a universal category, the sacred represents the interests of the group, especially</w:t>
      </w:r>
      <w:r w:rsidRPr="00BB7B9A">
        <w:rPr>
          <w:rFonts w:ascii="Times New Roman" w:hAnsi="Times New Roman" w:cs="Times New Roman" w:hint="eastAsia"/>
          <w:sz w:val="22"/>
        </w:rPr>
        <w:t xml:space="preserve"> the</w:t>
      </w:r>
      <w:r w:rsidRPr="00BB7B9A">
        <w:rPr>
          <w:rFonts w:ascii="Times New Roman" w:hAnsi="Times New Roman" w:cs="Times New Roman"/>
          <w:sz w:val="22"/>
        </w:rPr>
        <w:t xml:space="preserve"> group’s solidarity, which are embodied in sacred group symbols or totems.  In the phenomenological tradition, the sacred, along with other terms such as holy, divine, transcendent, ultimate being (or reality) and mystery, has been used to denote the power, being or realm understood by religious persons to be at the core of existence and to have a transformative effect on their lives and destinies.  Especially, for those who advocate the separation of the sacred from the established religion and want to open up a new field of study which falls outside the social formations of institutions – e.g. new religious movement</w:t>
      </w:r>
      <w:r w:rsidRPr="00BB7B9A">
        <w:rPr>
          <w:rFonts w:ascii="Times New Roman" w:hAnsi="Times New Roman" w:cs="Times New Roman" w:hint="eastAsia"/>
          <w:sz w:val="22"/>
        </w:rPr>
        <w:t>s</w:t>
      </w:r>
      <w:r w:rsidRPr="00BB7B9A">
        <w:rPr>
          <w:rFonts w:ascii="Times New Roman" w:hAnsi="Times New Roman" w:cs="Times New Roman"/>
          <w:sz w:val="22"/>
        </w:rPr>
        <w:t xml:space="preserve"> (Demerath, III 2000; Cox 2003), the sacred constitutes a fundamental category that makes religion somehow distinct, </w:t>
      </w:r>
      <w:r w:rsidRPr="00BB7B9A">
        <w:rPr>
          <w:rFonts w:ascii="Times New Roman" w:hAnsi="Times New Roman" w:cs="Times New Roman"/>
          <w:i/>
          <w:sz w:val="22"/>
        </w:rPr>
        <w:t>sui generis</w:t>
      </w:r>
      <w:r w:rsidRPr="00BB7B9A">
        <w:rPr>
          <w:rFonts w:ascii="Times New Roman" w:hAnsi="Times New Roman" w:cs="Times New Roman"/>
          <w:sz w:val="22"/>
        </w:rPr>
        <w:t xml:space="preserve"> and unique, not confined in the institutionalized religions.  However, when it comes to the problem of how to investigate the sacred, one will realize that a search for the sacred is a job that cannot be easily accomplished.  In his 1999 presidential address </w:t>
      </w:r>
      <w:r w:rsidRPr="00BB7B9A">
        <w:rPr>
          <w:rFonts w:ascii="Times New Roman" w:hAnsi="Times New Roman" w:cs="Times New Roman" w:hint="eastAsia"/>
          <w:sz w:val="22"/>
        </w:rPr>
        <w:t>to the</w:t>
      </w:r>
      <w:r w:rsidRPr="00BB7B9A">
        <w:rPr>
          <w:rFonts w:ascii="Times New Roman" w:hAnsi="Times New Roman" w:cs="Times New Roman"/>
          <w:sz w:val="22"/>
        </w:rPr>
        <w:t xml:space="preserve"> </w:t>
      </w:r>
      <w:r w:rsidRPr="00BB7B9A">
        <w:rPr>
          <w:rFonts w:ascii="Times New Roman" w:hAnsi="Times New Roman" w:cs="Times New Roman"/>
          <w:i/>
          <w:sz w:val="22"/>
        </w:rPr>
        <w:t>Society for the Scientific Study of Religion</w:t>
      </w:r>
      <w:r w:rsidRPr="00BB7B9A">
        <w:rPr>
          <w:rFonts w:ascii="Times New Roman" w:hAnsi="Times New Roman" w:cs="Times New Roman"/>
          <w:sz w:val="22"/>
        </w:rPr>
        <w:t xml:space="preserve">, N. J. Demerath, III (2000) raised </w:t>
      </w:r>
      <w:r w:rsidRPr="00BB7B9A">
        <w:rPr>
          <w:rFonts w:ascii="Times New Roman" w:hAnsi="Times New Roman" w:cs="Times New Roman" w:hint="eastAsia"/>
          <w:sz w:val="22"/>
        </w:rPr>
        <w:t xml:space="preserve">the </w:t>
      </w:r>
      <w:r w:rsidRPr="00BB7B9A">
        <w:rPr>
          <w:rFonts w:ascii="Times New Roman" w:hAnsi="Times New Roman" w:cs="Times New Roman"/>
          <w:sz w:val="22"/>
        </w:rPr>
        <w:t xml:space="preserve">following questions in which he himself was reluctant to fully immerse. </w:t>
      </w:r>
    </w:p>
    <w:p w:rsidR="00E87C3B" w:rsidRPr="00BB7B9A" w:rsidRDefault="00E87C3B" w:rsidP="00BB7B9A">
      <w:pPr>
        <w:wordWrap/>
        <w:spacing w:line="360" w:lineRule="auto"/>
        <w:ind w:leftChars="400" w:left="800" w:rightChars="400" w:right="800"/>
        <w:jc w:val="left"/>
        <w:rPr>
          <w:rFonts w:ascii="Times New Roman" w:hAnsi="Times New Roman" w:cs="Times New Roman"/>
          <w:sz w:val="22"/>
        </w:rPr>
      </w:pPr>
    </w:p>
    <w:p w:rsidR="00E87C3B" w:rsidRPr="00BB7B9A" w:rsidRDefault="00E87C3B" w:rsidP="00D1586E">
      <w:pPr>
        <w:wordWrap/>
        <w:ind w:leftChars="400" w:left="800" w:rightChars="400" w:right="800"/>
        <w:jc w:val="left"/>
        <w:rPr>
          <w:rFonts w:ascii="Times New Roman" w:hAnsi="Times New Roman" w:cs="Times New Roman"/>
          <w:sz w:val="22"/>
        </w:rPr>
      </w:pPr>
      <w:r w:rsidRPr="00BB7B9A">
        <w:rPr>
          <w:rFonts w:ascii="Times New Roman" w:hAnsi="Times New Roman" w:cs="Times New Roman"/>
          <w:sz w:val="22"/>
        </w:rPr>
        <w:t xml:space="preserve">How should we define the sacred?  Would we know a sacred consequence when we saw one?  Can we really study the sacred objectively without experiencing it personally?  On the other hand, can we really study the sacred once we have experienced it personally because of the biases this introduces?  Does every viable social unit need some common sacred commitments and experiences?  What about every individual?  Is it possible to imagine both fleeting and enduring sacred experiences?  Is there some foolproof test that will yield a universal certificate of sacred authenticity? (8).  </w:t>
      </w:r>
    </w:p>
    <w:p w:rsidR="00E87C3B" w:rsidRPr="00BB7B9A" w:rsidRDefault="00E87C3B" w:rsidP="00BB7B9A">
      <w:pPr>
        <w:wordWrap/>
        <w:spacing w:line="360" w:lineRule="auto"/>
        <w:jc w:val="left"/>
        <w:rPr>
          <w:rFonts w:ascii="Times New Roman" w:hAnsi="Times New Roman" w:cs="Times New Roman"/>
          <w:sz w:val="22"/>
        </w:rPr>
      </w:pPr>
    </w:p>
    <w:p w:rsidR="00AF1241"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These seem to be the crucial questions that should be answered in order to employ the concept of the sacred in the sociological investigation of religion.  But why did Demerath</w:t>
      </w:r>
      <w:r w:rsidR="00BA7BBC">
        <w:rPr>
          <w:rFonts w:ascii="Times New Roman" w:hAnsi="Times New Roman" w:cs="Times New Roman" w:hint="eastAsia"/>
          <w:sz w:val="22"/>
        </w:rPr>
        <w:t xml:space="preserve"> III </w:t>
      </w:r>
      <w:r w:rsidRPr="00BB7B9A">
        <w:rPr>
          <w:rFonts w:ascii="Times New Roman" w:hAnsi="Times New Roman" w:cs="Times New Roman"/>
          <w:sz w:val="22"/>
        </w:rPr>
        <w:t>reserve his answers to these questions?  Is it just because it is hard to find answers</w:t>
      </w:r>
      <w:r w:rsidRPr="00BB7B9A">
        <w:rPr>
          <w:rFonts w:ascii="Times New Roman" w:hAnsi="Times New Roman" w:cs="Times New Roman" w:hint="eastAsia"/>
          <w:sz w:val="22"/>
        </w:rPr>
        <w:t xml:space="preserve">?  </w:t>
      </w:r>
      <w:r w:rsidRPr="00BB7B9A">
        <w:rPr>
          <w:rFonts w:ascii="Times New Roman" w:hAnsi="Times New Roman" w:cs="Times New Roman"/>
          <w:sz w:val="22"/>
        </w:rPr>
        <w:t>T</w:t>
      </w:r>
      <w:r w:rsidRPr="00BB7B9A">
        <w:rPr>
          <w:rFonts w:ascii="Times New Roman" w:hAnsi="Times New Roman" w:cs="Times New Roman" w:hint="eastAsia"/>
          <w:sz w:val="22"/>
        </w:rPr>
        <w:t xml:space="preserve">hen, </w:t>
      </w:r>
      <w:r w:rsidR="00B40D77" w:rsidRPr="00BB7B9A">
        <w:rPr>
          <w:rFonts w:ascii="Times New Roman" w:hAnsi="Times New Roman" w:cs="Times New Roman" w:hint="eastAsia"/>
          <w:sz w:val="22"/>
        </w:rPr>
        <w:t>can we</w:t>
      </w:r>
      <w:r w:rsidR="00B40D77" w:rsidRPr="00BB7B9A">
        <w:rPr>
          <w:rFonts w:ascii="Times New Roman" w:hAnsi="Times New Roman" w:cs="Times New Roman"/>
          <w:sz w:val="22"/>
        </w:rPr>
        <w:t xml:space="preserve"> find answers in the end </w:t>
      </w:r>
      <w:r w:rsidRPr="00BB7B9A">
        <w:rPr>
          <w:rFonts w:ascii="Times New Roman" w:hAnsi="Times New Roman" w:cs="Times New Roman"/>
          <w:sz w:val="22"/>
        </w:rPr>
        <w:t xml:space="preserve">if we carry out more empirical researches?  Or is it because these are simply unanswerable ones?  I find that the fundamental problem in employing the concept of the sacred lies in the fact that </w:t>
      </w:r>
      <w:r w:rsidRPr="00BB7B9A">
        <w:rPr>
          <w:rFonts w:ascii="Times New Roman" w:hAnsi="Times New Roman" w:cs="Times New Roman" w:hint="eastAsia"/>
          <w:sz w:val="22"/>
        </w:rPr>
        <w:t>it</w:t>
      </w:r>
      <w:r w:rsidRPr="00BB7B9A">
        <w:rPr>
          <w:rFonts w:ascii="Times New Roman" w:hAnsi="Times New Roman" w:cs="Times New Roman"/>
          <w:sz w:val="22"/>
        </w:rPr>
        <w:t xml:space="preserve"> does not refer to “things’ in our physical environment, especially not to discrete empirical referents of the kind necessary for any causal analysis.  Without the discrete empirical referents, it is hardly possible to identify what the concept of the sacred refers to, i.e., to define it ostensively, and thus to posit its existence and its relation to the world in a causalist term.</w:t>
      </w:r>
      <w:r w:rsidRPr="00BB7B9A">
        <w:rPr>
          <w:rStyle w:val="a7"/>
          <w:rFonts w:ascii="Times New Roman" w:hAnsi="Times New Roman"/>
          <w:sz w:val="22"/>
        </w:rPr>
        <w:footnoteReference w:id="2"/>
      </w:r>
      <w:r w:rsidRPr="00BB7B9A">
        <w:rPr>
          <w:rFonts w:ascii="Times New Roman" w:hAnsi="Times New Roman" w:cs="Times New Roman"/>
          <w:sz w:val="22"/>
        </w:rPr>
        <w:t xml:space="preserve">  </w:t>
      </w:r>
      <w:r w:rsidRPr="00BB7B9A">
        <w:rPr>
          <w:rFonts w:ascii="Times New Roman" w:hAnsi="Times New Roman" w:cs="Times New Roman" w:hint="eastAsia"/>
          <w:sz w:val="22"/>
        </w:rPr>
        <w:t>The o</w:t>
      </w:r>
      <w:r w:rsidRPr="00BB7B9A">
        <w:rPr>
          <w:rFonts w:ascii="Times New Roman" w:hAnsi="Times New Roman" w:cs="Times New Roman"/>
          <w:sz w:val="22"/>
        </w:rPr>
        <w:t xml:space="preserve">nly way to define it, if possible, is a </w:t>
      </w:r>
      <w:r w:rsidRPr="00BB7B9A">
        <w:rPr>
          <w:rFonts w:ascii="Times New Roman" w:hAnsi="Times New Roman" w:cs="Times New Roman"/>
          <w:sz w:val="22"/>
        </w:rPr>
        <w:lastRenderedPageBreak/>
        <w:t xml:space="preserve">negative one, i.e., the sacred as encompassing all that exists </w:t>
      </w:r>
      <w:r w:rsidRPr="00BB7B9A">
        <w:rPr>
          <w:rFonts w:ascii="Times New Roman" w:hAnsi="Times New Roman" w:cs="Times New Roman"/>
          <w:i/>
          <w:sz w:val="22"/>
        </w:rPr>
        <w:t>beyond</w:t>
      </w:r>
      <w:r w:rsidRPr="00BB7B9A">
        <w:rPr>
          <w:rFonts w:ascii="Times New Roman" w:hAnsi="Times New Roman" w:cs="Times New Roman"/>
          <w:sz w:val="22"/>
        </w:rPr>
        <w:t xml:space="preserve"> or </w:t>
      </w:r>
      <w:r w:rsidRPr="00BB7B9A">
        <w:rPr>
          <w:rFonts w:ascii="Times New Roman" w:hAnsi="Times New Roman" w:cs="Times New Roman"/>
          <w:i/>
          <w:sz w:val="22"/>
        </w:rPr>
        <w:t>in contrast to</w:t>
      </w:r>
      <w:r w:rsidRPr="00BB7B9A">
        <w:rPr>
          <w:rFonts w:ascii="Times New Roman" w:hAnsi="Times New Roman" w:cs="Times New Roman"/>
          <w:sz w:val="22"/>
        </w:rPr>
        <w:t xml:space="preserve"> the everyday, natural world that we experience as either comprehensible or ultimately knowable with our senses (Eliade1957, 10).  Since it lacks the pictorial relation to the world, the sacred is treated as a mysterious realm distinct from mundane reality.  Indeed, no other concept is more mysterious than ‘the sacred’ in the sociology of religion literature.  Although it has been heralded as the indispensable and vital element of social reality as well as the core element defining religion for many social theorists and researchers, the clarification of the concept of the sacred is yet to be achieved.  </w:t>
      </w:r>
    </w:p>
    <w:p w:rsidR="00E87C3B" w:rsidRPr="00BB7B9A" w:rsidRDefault="00E87C3B" w:rsidP="00AF1241">
      <w:pPr>
        <w:wordWrap/>
        <w:spacing w:line="360" w:lineRule="auto"/>
        <w:ind w:firstLine="760"/>
        <w:jc w:val="left"/>
        <w:rPr>
          <w:rFonts w:ascii="Times New Roman" w:hAnsi="Times New Roman" w:cs="Times New Roman"/>
          <w:sz w:val="22"/>
        </w:rPr>
      </w:pPr>
      <w:r w:rsidRPr="00BB7B9A">
        <w:rPr>
          <w:rFonts w:ascii="Times New Roman" w:hAnsi="Times New Roman" w:cs="Times New Roman"/>
          <w:sz w:val="22"/>
        </w:rPr>
        <w:t xml:space="preserve">Then should the sacred be left mysterious?  Wittgenstein’s later philosophy opens up the possibility of accessing this mysterious realm.  Thus this </w:t>
      </w:r>
      <w:r w:rsidR="00AF1241">
        <w:rPr>
          <w:rFonts w:ascii="Times New Roman" w:hAnsi="Times New Roman" w:cs="Times New Roman" w:hint="eastAsia"/>
          <w:sz w:val="22"/>
        </w:rPr>
        <w:t>essay</w:t>
      </w:r>
      <w:r w:rsidRPr="00BB7B9A">
        <w:rPr>
          <w:rFonts w:ascii="Times New Roman" w:hAnsi="Times New Roman" w:cs="Times New Roman"/>
          <w:sz w:val="22"/>
        </w:rPr>
        <w:t xml:space="preserve"> deals with the conceptual problems involved in employing the concept of the sacred based on Wittgenstein’s discussion of ‘the relationship between language and reality,’</w:t>
      </w:r>
      <w:r w:rsidR="00F91B87">
        <w:rPr>
          <w:rStyle w:val="a7"/>
          <w:rFonts w:ascii="Times New Roman" w:hAnsi="Times New Roman"/>
          <w:sz w:val="22"/>
        </w:rPr>
        <w:footnoteReference w:id="3"/>
      </w:r>
      <w:r w:rsidRPr="00BB7B9A">
        <w:rPr>
          <w:rFonts w:ascii="Times New Roman" w:hAnsi="Times New Roman" w:cs="Times New Roman"/>
          <w:sz w:val="22"/>
        </w:rPr>
        <w:t xml:space="preserve"> and argues that the sacred can be observable and intelligible through an illumination of its grammar in the lives of religious believers.  Refusing to search for any common essence in the concept of the sacred, instead it suggests to treat it as </w:t>
      </w:r>
      <w:r w:rsidRPr="00BB7B9A">
        <w:rPr>
          <w:rFonts w:ascii="Times New Roman" w:hAnsi="Times New Roman" w:cs="Times New Roman" w:hint="eastAsia"/>
          <w:sz w:val="22"/>
        </w:rPr>
        <w:t xml:space="preserve">a </w:t>
      </w:r>
      <w:r w:rsidRPr="00BB7B9A">
        <w:rPr>
          <w:rFonts w:ascii="Times New Roman" w:hAnsi="Times New Roman" w:cs="Times New Roman"/>
          <w:sz w:val="22"/>
        </w:rPr>
        <w:t xml:space="preserve">‘family resemblance concept,’ and urges </w:t>
      </w:r>
      <w:r w:rsidRPr="00BB7B9A">
        <w:rPr>
          <w:rFonts w:ascii="Times New Roman" w:hAnsi="Times New Roman" w:cs="Times New Roman" w:hint="eastAsia"/>
          <w:sz w:val="22"/>
        </w:rPr>
        <w:t>a</w:t>
      </w:r>
      <w:r w:rsidRPr="00BB7B9A">
        <w:rPr>
          <w:rFonts w:ascii="Times New Roman" w:hAnsi="Times New Roman" w:cs="Times New Roman"/>
          <w:sz w:val="22"/>
        </w:rPr>
        <w:t xml:space="preserve"> turn toward the workings of various concepts which religious believers use in their concrete religious practices such as ‘God,’ ‘holy,’ ‘divine,’ ‘transcendent,’ </w:t>
      </w:r>
      <w:r w:rsidR="006D759F">
        <w:rPr>
          <w:rFonts w:ascii="Times New Roman" w:hAnsi="Times New Roman" w:cs="Times New Roman"/>
          <w:sz w:val="22"/>
        </w:rPr>
        <w:t>‘</w:t>
      </w:r>
      <w:r w:rsidR="006D759F">
        <w:rPr>
          <w:rFonts w:ascii="Times New Roman" w:hAnsi="Times New Roman" w:cs="Times New Roman" w:hint="eastAsia"/>
          <w:sz w:val="22"/>
        </w:rPr>
        <w:t>the inexpressible,</w:t>
      </w:r>
      <w:r w:rsidR="006D759F">
        <w:rPr>
          <w:rFonts w:ascii="Times New Roman" w:hAnsi="Times New Roman" w:cs="Times New Roman"/>
          <w:sz w:val="22"/>
        </w:rPr>
        <w:t>’</w:t>
      </w:r>
      <w:r w:rsidR="006D759F">
        <w:rPr>
          <w:rFonts w:ascii="Times New Roman" w:hAnsi="Times New Roman" w:cs="Times New Roman" w:hint="eastAsia"/>
          <w:sz w:val="22"/>
        </w:rPr>
        <w:t xml:space="preserve"> </w:t>
      </w:r>
      <w:r w:rsidRPr="00BB7B9A">
        <w:rPr>
          <w:rFonts w:ascii="Times New Roman" w:hAnsi="Times New Roman" w:cs="Times New Roman"/>
          <w:sz w:val="22"/>
        </w:rPr>
        <w:t xml:space="preserve">‘ultimate being’ (or reality) and ‘mystery.’  A linguistic repertoire used in concrete religious practices by religious believers can be observable and intelligible through an illumination of its grammar in the lives of religious believers.  It is </w:t>
      </w:r>
      <w:r w:rsidRPr="00BB7B9A">
        <w:rPr>
          <w:rFonts w:ascii="Times New Roman" w:hAnsi="Times New Roman" w:cs="Times New Roman" w:hint="eastAsia"/>
          <w:sz w:val="22"/>
        </w:rPr>
        <w:t xml:space="preserve">within </w:t>
      </w:r>
      <w:r w:rsidRPr="00BB7B9A">
        <w:rPr>
          <w:rFonts w:ascii="Times New Roman" w:hAnsi="Times New Roman" w:cs="Times New Roman"/>
          <w:sz w:val="22"/>
        </w:rPr>
        <w:t xml:space="preserve">social practices which diverse religious discourses have their home and gain their coherence and intelligibility.  Conceptual problems arise when language goes on holiday, when words are abstracted from the actual contexts that give them significance.  To put those concepts under scrutiny is, in Phillips’s words, “to let the concept of mystery come in at the right place; to show how the concept is mediated in human life” (Phillips 1995, xvii).  </w:t>
      </w:r>
    </w:p>
    <w:p w:rsidR="00E87C3B" w:rsidRPr="00BB7B9A" w:rsidRDefault="00E87C3B" w:rsidP="00BB7B9A">
      <w:pPr>
        <w:wordWrap/>
        <w:spacing w:line="360" w:lineRule="auto"/>
        <w:jc w:val="left"/>
        <w:rPr>
          <w:rFonts w:ascii="Times New Roman" w:hAnsi="Times New Roman" w:cs="Times New Roman"/>
          <w:sz w:val="22"/>
        </w:rPr>
      </w:pPr>
    </w:p>
    <w:p w:rsidR="00E87C3B" w:rsidRPr="00BB7B9A" w:rsidRDefault="00E87C3B" w:rsidP="00CC2261">
      <w:pPr>
        <w:pStyle w:val="1"/>
        <w:numPr>
          <w:ilvl w:val="0"/>
          <w:numId w:val="28"/>
        </w:numPr>
        <w:wordWrap/>
        <w:spacing w:line="360" w:lineRule="auto"/>
        <w:ind w:leftChars="0"/>
        <w:jc w:val="left"/>
        <w:rPr>
          <w:rFonts w:ascii="Times New Roman" w:hAnsi="Times New Roman" w:cs="Times New Roman"/>
          <w:sz w:val="22"/>
        </w:rPr>
      </w:pPr>
      <w:r w:rsidRPr="00BB7B9A">
        <w:rPr>
          <w:rFonts w:ascii="Times New Roman" w:hAnsi="Times New Roman" w:cs="Times New Roman"/>
          <w:sz w:val="22"/>
        </w:rPr>
        <w:t xml:space="preserve">The Elusive Sacred </w:t>
      </w:r>
    </w:p>
    <w:p w:rsidR="00AF1241" w:rsidRDefault="00AF1241" w:rsidP="00BB7B9A">
      <w:pPr>
        <w:wordWrap/>
        <w:spacing w:line="360" w:lineRule="auto"/>
        <w:jc w:val="left"/>
        <w:rPr>
          <w:rFonts w:ascii="Times New Roman" w:hAnsi="Times New Roman" w:cs="Times New Roman"/>
          <w:sz w:val="22"/>
        </w:rPr>
      </w:pPr>
    </w:p>
    <w:p w:rsidR="00CC2261"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 xml:space="preserve">In her book </w:t>
      </w:r>
      <w:r w:rsidRPr="00BB7B9A">
        <w:rPr>
          <w:rFonts w:ascii="Times New Roman" w:hAnsi="Times New Roman" w:cs="Times New Roman"/>
          <w:i/>
          <w:sz w:val="22"/>
        </w:rPr>
        <w:t xml:space="preserve">Religion as a Chain of Memory </w:t>
      </w:r>
      <w:r w:rsidRPr="00BB7B9A">
        <w:rPr>
          <w:rFonts w:ascii="Times New Roman" w:hAnsi="Times New Roman" w:cs="Times New Roman"/>
          <w:sz w:val="22"/>
        </w:rPr>
        <w:t xml:space="preserve">(2000), Danièle Hervieu-Léger writes about the difficulty </w:t>
      </w:r>
      <w:r w:rsidRPr="00BB7B9A">
        <w:rPr>
          <w:rFonts w:ascii="Times New Roman" w:hAnsi="Times New Roman" w:cs="Times New Roman"/>
          <w:sz w:val="22"/>
        </w:rPr>
        <w:lastRenderedPageBreak/>
        <w:t>in employing the concept of the sacred; “as soon as scholars address the notion of sacredness, they often unwittingly become caught up in an analogical circle from which it is virtually impossible to escape” (45).  By inescapable analogical circle, she means that “after making the assumption that the notion of the sacred enables the core of an experience transcending the contingent forms of traditional religions to be identified, they were irresistibly tempted to measure the possible manifestations of this experience against these same traditional religions, still considered as the supreme imprint of the sacred within the social” (</w:t>
      </w:r>
      <w:r w:rsidRPr="00BB7B9A">
        <w:rPr>
          <w:rFonts w:ascii="Times New Roman" w:hAnsi="Times New Roman" w:cs="Times New Roman" w:hint="eastAsia"/>
          <w:sz w:val="22"/>
        </w:rPr>
        <w:t>45</w:t>
      </w:r>
      <w:r w:rsidRPr="00BB7B9A">
        <w:rPr>
          <w:rFonts w:ascii="Times New Roman" w:hAnsi="Times New Roman" w:cs="Times New Roman"/>
          <w:sz w:val="22"/>
        </w:rPr>
        <w:t xml:space="preserve">).  The analytical problem identified by Hervieu-Léger derives from the conflict between the conceptualization of the sacred as a unifying principle behind the multiplicity of religious expression in humanity and the conceptualization of the sacred as the unique specificity of an emotional experience.  In the former, the sacred is understood as “a tangible reality, a subject which can be identified by its properties and that is generally to be found in every religion – a mysterious power, total separation between a sacred and a profane world, and an ambivalence which renders the sacred an object at once of fascination and of revulsion, of attraction and of terror” (48-49).  </w:t>
      </w:r>
    </w:p>
    <w:p w:rsidR="00E87C3B" w:rsidRPr="00BB7B9A" w:rsidRDefault="00E87C3B" w:rsidP="00CC2261">
      <w:pPr>
        <w:wordWrap/>
        <w:spacing w:line="360" w:lineRule="auto"/>
        <w:ind w:firstLine="800"/>
        <w:jc w:val="left"/>
        <w:rPr>
          <w:rFonts w:ascii="Times New Roman" w:hAnsi="Times New Roman" w:cs="Times New Roman"/>
          <w:sz w:val="22"/>
        </w:rPr>
      </w:pPr>
      <w:r w:rsidRPr="00BB7B9A">
        <w:rPr>
          <w:rFonts w:ascii="Times New Roman" w:hAnsi="Times New Roman" w:cs="Times New Roman"/>
          <w:sz w:val="22"/>
        </w:rPr>
        <w:t xml:space="preserve">This way of thinking transforms the sacred from an adjective into a noun, and thereby makes it the unique and real subject matter behind all religions, all beliefs and all religious feelings.  Thus, “all spiritual and religious paths are presumed to converge on this same sacred” (49).  However, she argues, by reducing it to its purely formal dimension, this notion of the sacred is made to merge at the level of significance with </w:t>
      </w:r>
      <w:r w:rsidRPr="00BB7B9A">
        <w:rPr>
          <w:rFonts w:ascii="Times New Roman" w:hAnsi="Times New Roman" w:cs="Times New Roman"/>
          <w:i/>
          <w:sz w:val="22"/>
        </w:rPr>
        <w:t>any</w:t>
      </w:r>
      <w:r w:rsidRPr="00BB7B9A">
        <w:rPr>
          <w:rFonts w:ascii="Times New Roman" w:hAnsi="Times New Roman" w:cs="Times New Roman"/>
          <w:sz w:val="22"/>
        </w:rPr>
        <w:t xml:space="preserve"> semantic contrast, whatever its content, and thus “is acceptable only if one no longer asks of it to characterize all religious reality and makes use of it only as a particularly potent structural type, whose empirical validity will only be measured later” (49-50).  The sacred is </w:t>
      </w:r>
      <w:r w:rsidRPr="00BB7B9A">
        <w:rPr>
          <w:rFonts w:ascii="Times New Roman" w:hAnsi="Times New Roman" w:cs="Times New Roman"/>
          <w:i/>
          <w:sz w:val="22"/>
        </w:rPr>
        <w:t>reified</w:t>
      </w:r>
      <w:r w:rsidRPr="00BB7B9A">
        <w:rPr>
          <w:rFonts w:ascii="Times New Roman" w:hAnsi="Times New Roman" w:cs="Times New Roman"/>
          <w:sz w:val="22"/>
        </w:rPr>
        <w:t xml:space="preserve">.  The latter way of conceptualization of the sacred focuses more on the unique specificity of an emotional experience which different religions have themselves </w:t>
      </w:r>
      <w:r w:rsidRPr="00BB7B9A">
        <w:rPr>
          <w:rFonts w:ascii="Times New Roman" w:hAnsi="Times New Roman" w:cs="Times New Roman" w:hint="eastAsia"/>
          <w:sz w:val="22"/>
        </w:rPr>
        <w:t>orchestrated</w:t>
      </w:r>
      <w:r w:rsidRPr="00BB7B9A">
        <w:rPr>
          <w:rFonts w:ascii="Times New Roman" w:hAnsi="Times New Roman" w:cs="Times New Roman"/>
          <w:sz w:val="22"/>
        </w:rPr>
        <w:t xml:space="preserve"> than the opposition between the sacred and the profane.  In this formulation, religion is fundamentally a matter of communication with the mysterious ‘other’ power or force.  Refusing to be confined in the institutionalized religions, the sacred “finds expression in the absolute – sacred – character conferred on objects, symbols or values, which crystallize the feeling of radical dependence experienced, individually and/or collectively, in emotional contact with an external force” (106-107).  This primary experience, as the source of all authentic religiosity, cannot be reduced to the body of doctrine and the liturgies which comprise its socially accepted expression (52).  But she argues that the attempt to see the experience of the sacred communion of feeling as the ultimate source of all religion is also unsatisfactory because such an emotional experience can be found outside the sphere of religion.  For example, in its affinity with religion, sport is frequently characterized as producing instantaneously collective meaning for the participants as well as spectators.  She argues that spectator sports “offer in small pieces (and in company with other manifestations – rock concerts, demos, telethons, etc.) access to an experience of the sacred (immediate, emotional realization of meaning)” (104).  However, such an ineffable experience of the sacred cannot be considered as </w:t>
      </w:r>
      <w:r w:rsidRPr="00BB7B9A">
        <w:rPr>
          <w:rFonts w:ascii="Times New Roman" w:hAnsi="Times New Roman" w:cs="Times New Roman" w:hint="eastAsia"/>
          <w:sz w:val="22"/>
        </w:rPr>
        <w:t xml:space="preserve">a </w:t>
      </w:r>
      <w:r w:rsidRPr="00BB7B9A">
        <w:rPr>
          <w:rFonts w:ascii="Times New Roman" w:hAnsi="Times New Roman" w:cs="Times New Roman"/>
          <w:sz w:val="22"/>
        </w:rPr>
        <w:t xml:space="preserve">religious manifestation because it is instantaneous and spontaneous.  Sport and other events such as a </w:t>
      </w:r>
      <w:r w:rsidRPr="00BB7B9A">
        <w:rPr>
          <w:rFonts w:ascii="Times New Roman" w:hAnsi="Times New Roman" w:cs="Times New Roman"/>
          <w:sz w:val="22"/>
        </w:rPr>
        <w:lastRenderedPageBreak/>
        <w:t>rock concert exemplif</w:t>
      </w:r>
      <w:r w:rsidRPr="00BB7B9A">
        <w:rPr>
          <w:rFonts w:ascii="Times New Roman" w:hAnsi="Times New Roman" w:cs="Times New Roman" w:hint="eastAsia"/>
          <w:sz w:val="22"/>
        </w:rPr>
        <w:t>y</w:t>
      </w:r>
      <w:r w:rsidRPr="00BB7B9A">
        <w:rPr>
          <w:rFonts w:ascii="Times New Roman" w:hAnsi="Times New Roman" w:cs="Times New Roman"/>
          <w:sz w:val="22"/>
        </w:rPr>
        <w:t xml:space="preserve"> the form of experience that is known by the term ‘sacred’ </w:t>
      </w:r>
      <w:r w:rsidRPr="00BB7B9A">
        <w:rPr>
          <w:rFonts w:ascii="Times New Roman" w:hAnsi="Times New Roman" w:cs="Times New Roman" w:hint="eastAsia"/>
          <w:sz w:val="22"/>
        </w:rPr>
        <w:t xml:space="preserve">and </w:t>
      </w:r>
      <w:r w:rsidRPr="00BB7B9A">
        <w:rPr>
          <w:rFonts w:ascii="Times New Roman" w:hAnsi="Times New Roman" w:cs="Times New Roman"/>
          <w:sz w:val="22"/>
        </w:rPr>
        <w:t>may occur outside any religion (107).  They can lead participants into an experience that gives them the feeling of radical dependence which can be called ‘sacred,’ but they can hardly be called ‘religio</w:t>
      </w:r>
      <w:r w:rsidRPr="00BB7B9A">
        <w:rPr>
          <w:rFonts w:ascii="Times New Roman" w:hAnsi="Times New Roman" w:cs="Times New Roman" w:hint="eastAsia"/>
          <w:sz w:val="22"/>
        </w:rPr>
        <w:t>us</w:t>
      </w:r>
      <w:r w:rsidRPr="00BB7B9A">
        <w:rPr>
          <w:rFonts w:ascii="Times New Roman" w:hAnsi="Times New Roman" w:cs="Times New Roman"/>
          <w:sz w:val="22"/>
        </w:rPr>
        <w:t>’ in a proper sense.  Therefore, she has to decide</w:t>
      </w:r>
      <w:r w:rsidRPr="00BB7B9A">
        <w:rPr>
          <w:rFonts w:ascii="Times New Roman" w:hAnsi="Times New Roman" w:cs="Times New Roman" w:hint="eastAsia"/>
          <w:sz w:val="22"/>
        </w:rPr>
        <w:t>:</w:t>
      </w:r>
      <w:r w:rsidRPr="00BB7B9A">
        <w:rPr>
          <w:rFonts w:ascii="Times New Roman" w:hAnsi="Times New Roman" w:cs="Times New Roman"/>
          <w:sz w:val="22"/>
        </w:rPr>
        <w:t xml:space="preserve"> “either religion originates entirely and exclusively in this emotional experience, which (in reality) is the act of adhering to society (and no more than that), and then there are no grounds for declining to describe mass spectator sport as religion in the full sense of the term; or else it proves inadequate as a definition of religion, in which case another criterion must be found and one that explains how traditional religions themselves can be called religions” (56).  </w:t>
      </w:r>
    </w:p>
    <w:p w:rsidR="00E87C3B" w:rsidRPr="00BB7B9A" w:rsidRDefault="00E87C3B" w:rsidP="00BB7B9A">
      <w:pPr>
        <w:wordWrap/>
        <w:spacing w:line="360" w:lineRule="auto"/>
        <w:ind w:firstLine="800"/>
        <w:jc w:val="left"/>
        <w:rPr>
          <w:rFonts w:ascii="Times New Roman" w:hAnsi="Times New Roman" w:cs="Times New Roman"/>
          <w:sz w:val="22"/>
        </w:rPr>
      </w:pPr>
      <w:r w:rsidRPr="00BB7B9A">
        <w:rPr>
          <w:rFonts w:ascii="Times New Roman" w:hAnsi="Times New Roman" w:cs="Times New Roman"/>
          <w:sz w:val="22"/>
        </w:rPr>
        <w:t>Hervieu-Léger’s conclusion is that the sacred does not constitute the subject matter of religion and religion cannot be defined in terms of the experience of the sacred.  For her, the reason why sport and other events which can be looked on as modern manifestations of the overwhelming experience of the sacred cannot be considered as religious manifestations is not because they lack a focus on the sacred or a transcendental referent, but because they lack “the expression of believing, the memory of continuity, and the legitimizing reference to an authorized version of such memory” (97).  As a criterion that explains how traditional religions themselves can be called religions, other than the sacred, she identifies ‘a chain of authoritative tradition,’ being invoked in support of the act of believing, without which, she argues, there is no religion (76).  In this way, religion, as a way of believing, becomes associated with the authoritative transmission of tradition, departing from the concept of the sacred.  She speaks rhetorically</w:t>
      </w:r>
      <w:r w:rsidRPr="00BB7B9A">
        <w:rPr>
          <w:rFonts w:ascii="Times New Roman" w:hAnsi="Times New Roman" w:cs="Times New Roman" w:hint="eastAsia"/>
          <w:sz w:val="22"/>
        </w:rPr>
        <w:t xml:space="preserve"> when she says:</w:t>
      </w:r>
      <w:r w:rsidRPr="00BB7B9A">
        <w:rPr>
          <w:rFonts w:ascii="Times New Roman" w:hAnsi="Times New Roman" w:cs="Times New Roman"/>
          <w:sz w:val="22"/>
        </w:rPr>
        <w:t xml:space="preserve"> “</w:t>
      </w:r>
      <w:r w:rsidRPr="00BB7B9A">
        <w:rPr>
          <w:rFonts w:ascii="Times New Roman" w:hAnsi="Times New Roman" w:cs="Times New Roman"/>
          <w:i/>
          <w:sz w:val="22"/>
        </w:rPr>
        <w:t>As our fathers believed, and because they believed, we too believe</w:t>
      </w:r>
      <w:r w:rsidRPr="00BB7B9A">
        <w:rPr>
          <w:rFonts w:ascii="Times New Roman" w:hAnsi="Times New Roman" w:cs="Times New Roman"/>
          <w:sz w:val="22"/>
        </w:rPr>
        <w:t xml:space="preserve">…” (81). Therefore, any form of believing can be described as religious which </w:t>
      </w:r>
      <w:r w:rsidRPr="00BB7B9A">
        <w:rPr>
          <w:rFonts w:ascii="Times New Roman" w:hAnsi="Times New Roman" w:cs="Times New Roman" w:hint="eastAsia"/>
          <w:sz w:val="22"/>
        </w:rPr>
        <w:t>expresses</w:t>
      </w:r>
      <w:r w:rsidRPr="00BB7B9A">
        <w:rPr>
          <w:rFonts w:ascii="Times New Roman" w:hAnsi="Times New Roman" w:cs="Times New Roman"/>
          <w:sz w:val="22"/>
        </w:rPr>
        <w:t xml:space="preserve"> its commitment to a chain of belief</w:t>
      </w:r>
      <w:r w:rsidRPr="00BB7B9A">
        <w:rPr>
          <w:rFonts w:ascii="Times New Roman" w:hAnsi="Times New Roman" w:cs="Times New Roman" w:hint="eastAsia"/>
          <w:sz w:val="22"/>
        </w:rPr>
        <w:t>s</w:t>
      </w:r>
      <w:r w:rsidRPr="00BB7B9A">
        <w:rPr>
          <w:rFonts w:ascii="Times New Roman" w:hAnsi="Times New Roman" w:cs="Times New Roman"/>
          <w:sz w:val="22"/>
        </w:rPr>
        <w:t xml:space="preserve"> it adopts as all-absorbing (81).  By focusing on a chain of authoritative tradition, she finds a way to define religion without resorting to the concept of the sacred, belief in God, or some form of a transcendent.  </w:t>
      </w: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ab/>
        <w:t>Throughout the discussion of the concept of the sacred and its validity in defining religion, Hervieu-Léger shows her excellence in exposing the elusiveness of the sacred.  She feels discontent with both the reified concept of the sacred as a unifying principle behind all religions, and the subjectively oriented concept of the sacred as a primary experience</w:t>
      </w:r>
      <w:r w:rsidR="00B30835">
        <w:rPr>
          <w:rFonts w:ascii="Times New Roman" w:hAnsi="Times New Roman" w:cs="Times New Roman" w:hint="eastAsia"/>
          <w:sz w:val="22"/>
        </w:rPr>
        <w:t>,</w:t>
      </w:r>
      <w:r w:rsidRPr="00BB7B9A">
        <w:rPr>
          <w:rFonts w:ascii="Times New Roman" w:hAnsi="Times New Roman" w:cs="Times New Roman"/>
          <w:sz w:val="22"/>
        </w:rPr>
        <w:t xml:space="preserve"> so she turns away from the sacred toward ‘a chain of memory.’  The concept of the sacred seems to fail to satisfy her need to define religion and thus she endeavors to disconnect the sacred from religion.  But I suggest that the concept of </w:t>
      </w:r>
      <w:r w:rsidRPr="00BB7B9A">
        <w:rPr>
          <w:rFonts w:ascii="Times New Roman" w:hAnsi="Times New Roman" w:cs="Times New Roman" w:hint="eastAsia"/>
          <w:sz w:val="22"/>
        </w:rPr>
        <w:t xml:space="preserve">the </w:t>
      </w:r>
      <w:r w:rsidRPr="00BB7B9A">
        <w:rPr>
          <w:rFonts w:ascii="Times New Roman" w:hAnsi="Times New Roman" w:cs="Times New Roman"/>
          <w:sz w:val="22"/>
        </w:rPr>
        <w:t xml:space="preserve">sacred, with other concepts such </w:t>
      </w:r>
      <w:r w:rsidRPr="00BB7B9A">
        <w:rPr>
          <w:rFonts w:ascii="Times New Roman" w:hAnsi="Times New Roman" w:cs="Times New Roman" w:hint="eastAsia"/>
          <w:sz w:val="22"/>
        </w:rPr>
        <w:t xml:space="preserve">as </w:t>
      </w:r>
      <w:r w:rsidRPr="00BB7B9A">
        <w:rPr>
          <w:rFonts w:ascii="Times New Roman" w:hAnsi="Times New Roman" w:cs="Times New Roman"/>
          <w:sz w:val="22"/>
        </w:rPr>
        <w:t xml:space="preserve">god, transcendence, ultimate being, mystery, etc. needs conceptual clarity in order to bring them </w:t>
      </w:r>
      <w:r w:rsidRPr="00BB7B9A">
        <w:rPr>
          <w:rFonts w:ascii="Times New Roman" w:hAnsi="Times New Roman" w:cs="Times New Roman" w:hint="eastAsia"/>
          <w:sz w:val="22"/>
        </w:rPr>
        <w:t xml:space="preserve">to </w:t>
      </w:r>
      <w:r w:rsidRPr="00BB7B9A">
        <w:rPr>
          <w:rFonts w:ascii="Times New Roman" w:hAnsi="Times New Roman" w:cs="Times New Roman"/>
          <w:sz w:val="22"/>
        </w:rPr>
        <w:t>life, not as a defining element, but as conceptual tools to be used in people’s religious li</w:t>
      </w:r>
      <w:r w:rsidRPr="00BB7B9A">
        <w:rPr>
          <w:rFonts w:ascii="Times New Roman" w:hAnsi="Times New Roman" w:cs="Times New Roman" w:hint="eastAsia"/>
          <w:sz w:val="22"/>
        </w:rPr>
        <w:t>ves</w:t>
      </w:r>
      <w:r w:rsidRPr="00BB7B9A">
        <w:rPr>
          <w:rFonts w:ascii="Times New Roman" w:hAnsi="Times New Roman" w:cs="Times New Roman"/>
          <w:sz w:val="22"/>
        </w:rPr>
        <w:t xml:space="preserve">.  To achieve conceptual clarity, </w:t>
      </w:r>
      <w:r w:rsidR="00B30835">
        <w:rPr>
          <w:rFonts w:ascii="Times New Roman" w:hAnsi="Times New Roman" w:cs="Times New Roman" w:hint="eastAsia"/>
          <w:sz w:val="22"/>
        </w:rPr>
        <w:t xml:space="preserve">first </w:t>
      </w:r>
      <w:r w:rsidRPr="00BB7B9A">
        <w:rPr>
          <w:rFonts w:ascii="Times New Roman" w:hAnsi="Times New Roman" w:cs="Times New Roman"/>
          <w:sz w:val="22"/>
        </w:rPr>
        <w:t xml:space="preserve">we have to find errors involved in employing the concept of the sacred.  As Wittgenstein says, “one must start out with error and convert it into truth.”  That is, “one must reveal the source of error, otherwise hearing the truth won’t do any good.  The truth cannot force its way in when something else is occupying its place.  To convince someone of the truth, it is not enough to state it, but rather one must find the </w:t>
      </w:r>
      <w:r w:rsidRPr="00BB7B9A">
        <w:rPr>
          <w:rFonts w:ascii="Times New Roman" w:hAnsi="Times New Roman" w:cs="Times New Roman"/>
          <w:i/>
          <w:sz w:val="22"/>
        </w:rPr>
        <w:t>path</w:t>
      </w:r>
      <w:r w:rsidRPr="00BB7B9A">
        <w:rPr>
          <w:rFonts w:ascii="Times New Roman" w:hAnsi="Times New Roman" w:cs="Times New Roman"/>
          <w:sz w:val="22"/>
        </w:rPr>
        <w:t xml:space="preserve"> from error to truth” (</w:t>
      </w:r>
      <w:r w:rsidRPr="00BB7B9A">
        <w:rPr>
          <w:rFonts w:ascii="Times New Roman" w:hAnsi="Times New Roman" w:cs="Times New Roman"/>
          <w:i/>
          <w:sz w:val="22"/>
        </w:rPr>
        <w:t>RFG</w:t>
      </w:r>
      <w:r w:rsidRPr="00BB7B9A">
        <w:rPr>
          <w:rFonts w:ascii="Times New Roman" w:hAnsi="Times New Roman" w:cs="Times New Roman"/>
          <w:sz w:val="22"/>
        </w:rPr>
        <w:t xml:space="preserve">, 119).  </w:t>
      </w:r>
    </w:p>
    <w:p w:rsidR="00E87C3B" w:rsidRPr="00BB7B9A" w:rsidRDefault="00E87C3B" w:rsidP="00CC2261">
      <w:pPr>
        <w:numPr>
          <w:ilvl w:val="0"/>
          <w:numId w:val="28"/>
        </w:numPr>
        <w:wordWrap/>
        <w:spacing w:line="360" w:lineRule="auto"/>
        <w:jc w:val="left"/>
        <w:rPr>
          <w:rFonts w:ascii="Times New Roman" w:hAnsi="Times New Roman" w:cs="Times New Roman"/>
          <w:sz w:val="22"/>
        </w:rPr>
      </w:pPr>
      <w:r w:rsidRPr="00BB7B9A">
        <w:rPr>
          <w:rFonts w:ascii="Times New Roman" w:hAnsi="Times New Roman" w:cs="Times New Roman"/>
          <w:sz w:val="22"/>
        </w:rPr>
        <w:lastRenderedPageBreak/>
        <w:t>The Conceptual Problems in Appropriating the Concept of the Sacred</w:t>
      </w:r>
    </w:p>
    <w:p w:rsidR="00FD0AC8" w:rsidRDefault="00FD0AC8" w:rsidP="00BB7B9A">
      <w:pPr>
        <w:wordWrap/>
        <w:spacing w:line="360" w:lineRule="auto"/>
        <w:jc w:val="left"/>
        <w:rPr>
          <w:rFonts w:ascii="Times New Roman" w:hAnsi="Times New Roman" w:cs="Times New Roman"/>
          <w:sz w:val="22"/>
        </w:rPr>
      </w:pPr>
    </w:p>
    <w:p w:rsidR="00E87C3B" w:rsidRPr="00BB7B9A" w:rsidRDefault="00E87C3B" w:rsidP="00DE40F9">
      <w:pPr>
        <w:wordWrap/>
        <w:spacing w:line="360" w:lineRule="auto"/>
        <w:jc w:val="left"/>
        <w:rPr>
          <w:rFonts w:ascii="Times New Roman" w:hAnsi="Times New Roman" w:cs="Times New Roman"/>
          <w:sz w:val="22"/>
        </w:rPr>
      </w:pPr>
      <w:r w:rsidRPr="00BB7B9A">
        <w:rPr>
          <w:rFonts w:ascii="Times New Roman" w:hAnsi="Times New Roman" w:cs="Times New Roman"/>
          <w:sz w:val="22"/>
        </w:rPr>
        <w:t xml:space="preserve">This section concerns itself with diagnosing the conceptual confusions </w:t>
      </w:r>
      <w:r w:rsidR="00DE40F9">
        <w:rPr>
          <w:rFonts w:ascii="Times New Roman" w:hAnsi="Times New Roman" w:cs="Times New Roman"/>
          <w:sz w:val="22"/>
        </w:rPr>
        <w:t>involved</w:t>
      </w:r>
      <w:r w:rsidR="00DE40F9">
        <w:rPr>
          <w:rFonts w:ascii="Times New Roman" w:hAnsi="Times New Roman" w:cs="Times New Roman" w:hint="eastAsia"/>
          <w:sz w:val="22"/>
        </w:rPr>
        <w:t xml:space="preserve"> in employing the </w:t>
      </w:r>
      <w:r w:rsidR="00DE40F9">
        <w:rPr>
          <w:rFonts w:ascii="Times New Roman" w:hAnsi="Times New Roman" w:cs="Times New Roman"/>
          <w:sz w:val="22"/>
        </w:rPr>
        <w:t>concept</w:t>
      </w:r>
      <w:r w:rsidR="00DE40F9">
        <w:rPr>
          <w:rFonts w:ascii="Times New Roman" w:hAnsi="Times New Roman" w:cs="Times New Roman" w:hint="eastAsia"/>
          <w:sz w:val="22"/>
        </w:rPr>
        <w:t xml:space="preserve"> of the sacred in the sociology of religion, </w:t>
      </w:r>
      <w:r w:rsidR="00DE40F9">
        <w:rPr>
          <w:rFonts w:ascii="Times New Roman" w:hAnsi="Times New Roman" w:cs="Times New Roman"/>
          <w:sz w:val="22"/>
        </w:rPr>
        <w:t>especially</w:t>
      </w:r>
      <w:r w:rsidR="00DE40F9">
        <w:rPr>
          <w:rFonts w:ascii="Times New Roman" w:hAnsi="Times New Roman" w:cs="Times New Roman" w:hint="eastAsia"/>
          <w:sz w:val="22"/>
        </w:rPr>
        <w:t xml:space="preserve"> manifest in the Durkheimian Tradition (the sacred as society), in the phenomenological tradition (the sacred as a mode of </w:t>
      </w:r>
      <w:r w:rsidR="00DE40F9">
        <w:rPr>
          <w:rFonts w:ascii="Times New Roman" w:hAnsi="Times New Roman" w:cs="Times New Roman"/>
          <w:sz w:val="22"/>
        </w:rPr>
        <w:t>subjective</w:t>
      </w:r>
      <w:r w:rsidR="00DE40F9">
        <w:rPr>
          <w:rFonts w:ascii="Times New Roman" w:hAnsi="Times New Roman" w:cs="Times New Roman" w:hint="eastAsia"/>
          <w:sz w:val="22"/>
        </w:rPr>
        <w:t xml:space="preserve"> experience), and in the materialistic tradition (the sacred as embodied). </w:t>
      </w:r>
    </w:p>
    <w:p w:rsidR="00E87C3B" w:rsidRPr="00BB7B9A" w:rsidRDefault="00E87C3B" w:rsidP="00BB7B9A">
      <w:pPr>
        <w:wordWrap/>
        <w:spacing w:line="360" w:lineRule="auto"/>
        <w:jc w:val="left"/>
        <w:rPr>
          <w:rFonts w:ascii="Times New Roman" w:hAnsi="Times New Roman" w:cs="Times New Roman"/>
          <w:sz w:val="22"/>
        </w:rPr>
      </w:pPr>
    </w:p>
    <w:p w:rsidR="00E87C3B" w:rsidRPr="00BB7B9A" w:rsidRDefault="00E87C3B" w:rsidP="00DE40F9">
      <w:pPr>
        <w:pStyle w:val="1"/>
        <w:numPr>
          <w:ilvl w:val="0"/>
          <w:numId w:val="29"/>
        </w:numPr>
        <w:wordWrap/>
        <w:spacing w:line="360" w:lineRule="auto"/>
        <w:ind w:leftChars="0"/>
        <w:jc w:val="left"/>
        <w:rPr>
          <w:rFonts w:ascii="Times New Roman" w:hAnsi="Times New Roman" w:cs="Times New Roman"/>
          <w:sz w:val="22"/>
        </w:rPr>
      </w:pPr>
      <w:r w:rsidRPr="00BB7B9A">
        <w:rPr>
          <w:rFonts w:ascii="Times New Roman" w:hAnsi="Times New Roman" w:cs="Times New Roman"/>
          <w:sz w:val="22"/>
        </w:rPr>
        <w:t>Durkheim – the Sacred as Society</w:t>
      </w:r>
    </w:p>
    <w:p w:rsidR="00DE40F9" w:rsidRDefault="00DE40F9" w:rsidP="00BB7B9A">
      <w:pPr>
        <w:wordWrap/>
        <w:spacing w:line="360" w:lineRule="auto"/>
        <w:jc w:val="left"/>
        <w:rPr>
          <w:rFonts w:ascii="Times New Roman" w:hAnsi="Times New Roman" w:cs="Times New Roman"/>
          <w:sz w:val="22"/>
        </w:rPr>
      </w:pP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 xml:space="preserve">No one can deny the significance of the concept of the sacred in Durkheim’s sociology.  </w:t>
      </w:r>
      <w:r w:rsidR="00BB7B9A" w:rsidRPr="00BB7B9A">
        <w:rPr>
          <w:rFonts w:ascii="Times New Roman" w:hAnsi="Times New Roman" w:cs="Times New Roman"/>
          <w:sz w:val="22"/>
        </w:rPr>
        <w:t>T</w:t>
      </w:r>
      <w:r w:rsidR="00BB7B9A" w:rsidRPr="00BB7B9A">
        <w:rPr>
          <w:rFonts w:ascii="Times New Roman" w:hAnsi="Times New Roman" w:cs="Times New Roman" w:hint="eastAsia"/>
          <w:sz w:val="22"/>
        </w:rPr>
        <w:t>he central theme of Durkheim</w:t>
      </w:r>
      <w:r w:rsidR="00BB7B9A" w:rsidRPr="00BB7B9A">
        <w:rPr>
          <w:rFonts w:ascii="Times New Roman" w:hAnsi="Times New Roman" w:cs="Times New Roman"/>
          <w:sz w:val="22"/>
        </w:rPr>
        <w:t>’</w:t>
      </w:r>
      <w:r w:rsidR="00BB7B9A" w:rsidRPr="00BB7B9A">
        <w:rPr>
          <w:rFonts w:ascii="Times New Roman" w:hAnsi="Times New Roman" w:cs="Times New Roman" w:hint="eastAsia"/>
          <w:sz w:val="22"/>
        </w:rPr>
        <w:t xml:space="preserve">s sociology of </w:t>
      </w:r>
      <w:r w:rsidR="00BB7B9A" w:rsidRPr="00BB7B9A">
        <w:rPr>
          <w:rFonts w:ascii="Times New Roman" w:hAnsi="Times New Roman" w:cs="Times New Roman"/>
          <w:sz w:val="22"/>
        </w:rPr>
        <w:t>religion</w:t>
      </w:r>
      <w:r w:rsidR="00BB7B9A" w:rsidRPr="00BB7B9A">
        <w:rPr>
          <w:rFonts w:ascii="Times New Roman" w:hAnsi="Times New Roman" w:cs="Times New Roman" w:hint="eastAsia"/>
          <w:sz w:val="22"/>
        </w:rPr>
        <w:t xml:space="preserve"> is the existence of the sacred/profane dichotomy and the social effects of the practices relating to religious categories. </w:t>
      </w:r>
      <w:r w:rsidR="00B30835">
        <w:rPr>
          <w:rFonts w:ascii="Times New Roman" w:hAnsi="Times New Roman" w:cs="Times New Roman" w:hint="eastAsia"/>
          <w:sz w:val="22"/>
        </w:rPr>
        <w:t xml:space="preserve"> </w:t>
      </w:r>
      <w:r w:rsidRPr="00BB7B9A">
        <w:rPr>
          <w:rFonts w:ascii="Times New Roman" w:hAnsi="Times New Roman" w:cs="Times New Roman"/>
          <w:sz w:val="22"/>
        </w:rPr>
        <w:t xml:space="preserve">Understanding his concept of the sacred </w:t>
      </w:r>
      <w:r w:rsidR="00C2226B">
        <w:rPr>
          <w:rFonts w:ascii="Times New Roman" w:hAnsi="Times New Roman" w:cs="Times New Roman" w:hint="eastAsia"/>
          <w:sz w:val="22"/>
        </w:rPr>
        <w:t xml:space="preserve">begins with </w:t>
      </w:r>
      <w:r w:rsidRPr="00BB7B9A">
        <w:rPr>
          <w:rFonts w:ascii="Times New Roman" w:hAnsi="Times New Roman" w:cs="Times New Roman"/>
          <w:sz w:val="22"/>
        </w:rPr>
        <w:t>the realization of the fact that the priority of the social</w:t>
      </w:r>
      <w:r w:rsidRPr="00BB7B9A">
        <w:rPr>
          <w:rFonts w:ascii="Times New Roman" w:hAnsi="Times New Roman" w:cs="Times New Roman" w:hint="eastAsia"/>
          <w:sz w:val="22"/>
        </w:rPr>
        <w:t>,</w:t>
      </w:r>
      <w:r w:rsidRPr="00BB7B9A">
        <w:rPr>
          <w:rFonts w:ascii="Times New Roman" w:hAnsi="Times New Roman" w:cs="Times New Roman"/>
          <w:sz w:val="22"/>
        </w:rPr>
        <w:t xml:space="preserve"> or the collective</w:t>
      </w:r>
      <w:r w:rsidRPr="00BB7B9A">
        <w:rPr>
          <w:rFonts w:ascii="Times New Roman" w:hAnsi="Times New Roman" w:cs="Times New Roman" w:hint="eastAsia"/>
          <w:sz w:val="22"/>
        </w:rPr>
        <w:t>,</w:t>
      </w:r>
      <w:r w:rsidRPr="00BB7B9A">
        <w:rPr>
          <w:rFonts w:ascii="Times New Roman" w:hAnsi="Times New Roman" w:cs="Times New Roman"/>
          <w:sz w:val="22"/>
        </w:rPr>
        <w:t xml:space="preserve"> is fundamental in his sociology.  Especially</w:t>
      </w:r>
      <w:r w:rsidRPr="00BB7B9A">
        <w:rPr>
          <w:rFonts w:ascii="Times New Roman" w:hAnsi="Times New Roman" w:cs="Times New Roman" w:hint="eastAsia"/>
          <w:sz w:val="22"/>
        </w:rPr>
        <w:t>,</w:t>
      </w:r>
      <w:r w:rsidRPr="00BB7B9A">
        <w:rPr>
          <w:rFonts w:ascii="Times New Roman" w:hAnsi="Times New Roman" w:cs="Times New Roman"/>
          <w:sz w:val="22"/>
        </w:rPr>
        <w:t xml:space="preserve"> his concern with the sacred character of social forces constitutes the vital motive for his major work on religion, </w:t>
      </w:r>
      <w:r w:rsidRPr="00BB7B9A">
        <w:rPr>
          <w:rFonts w:ascii="Times New Roman" w:hAnsi="Times New Roman" w:cs="Times New Roman"/>
          <w:i/>
          <w:sz w:val="22"/>
        </w:rPr>
        <w:t xml:space="preserve">The Elementary Forms of Religious Life </w:t>
      </w:r>
      <w:r w:rsidRPr="00BB7B9A">
        <w:rPr>
          <w:rFonts w:ascii="Times New Roman" w:hAnsi="Times New Roman" w:cs="Times New Roman"/>
          <w:sz w:val="22"/>
        </w:rPr>
        <w:t xml:space="preserve">(1995).  The main purpose of this masterpiece is not to explain an aboriginal religion, but to find the common basis of all religious lives.  His general assumption in proceeding </w:t>
      </w:r>
      <w:r w:rsidRPr="00BB7B9A">
        <w:rPr>
          <w:rFonts w:ascii="Times New Roman" w:hAnsi="Times New Roman" w:cs="Times New Roman" w:hint="eastAsia"/>
          <w:sz w:val="22"/>
        </w:rPr>
        <w:t xml:space="preserve">with </w:t>
      </w:r>
      <w:r w:rsidRPr="00BB7B9A">
        <w:rPr>
          <w:rFonts w:ascii="Times New Roman" w:hAnsi="Times New Roman" w:cs="Times New Roman"/>
          <w:sz w:val="22"/>
        </w:rPr>
        <w:t>the account of the primitive forms of religious life is as follows</w:t>
      </w:r>
      <w:r w:rsidRPr="00BB7B9A">
        <w:rPr>
          <w:rFonts w:ascii="Times New Roman" w:hAnsi="Times New Roman" w:cs="Times New Roman" w:hint="eastAsia"/>
          <w:sz w:val="22"/>
        </w:rPr>
        <w:t>:</w:t>
      </w:r>
      <w:r w:rsidRPr="00BB7B9A">
        <w:rPr>
          <w:rFonts w:ascii="Times New Roman" w:hAnsi="Times New Roman" w:cs="Times New Roman"/>
          <w:sz w:val="22"/>
        </w:rPr>
        <w:t xml:space="preserve"> </w:t>
      </w:r>
    </w:p>
    <w:p w:rsidR="00E87C3B" w:rsidRPr="00BB7B9A" w:rsidRDefault="00E87C3B" w:rsidP="00BB7B9A">
      <w:pPr>
        <w:wordWrap/>
        <w:spacing w:line="360" w:lineRule="auto"/>
        <w:ind w:leftChars="400" w:left="800" w:rightChars="400" w:right="800"/>
        <w:jc w:val="left"/>
        <w:rPr>
          <w:rFonts w:ascii="Times New Roman" w:hAnsi="Times New Roman" w:cs="Times New Roman"/>
          <w:sz w:val="22"/>
        </w:rPr>
      </w:pPr>
    </w:p>
    <w:p w:rsidR="00E87C3B" w:rsidRPr="00BB7B9A" w:rsidRDefault="00E87C3B" w:rsidP="00D1586E">
      <w:pPr>
        <w:wordWrap/>
        <w:ind w:leftChars="400" w:left="800" w:rightChars="400" w:right="800"/>
        <w:jc w:val="left"/>
        <w:rPr>
          <w:rFonts w:ascii="Times New Roman" w:hAnsi="Times New Roman" w:cs="Times New Roman"/>
          <w:sz w:val="22"/>
        </w:rPr>
      </w:pPr>
      <w:r w:rsidRPr="00BB7B9A">
        <w:rPr>
          <w:rFonts w:ascii="Times New Roman" w:hAnsi="Times New Roman" w:cs="Times New Roman"/>
          <w:sz w:val="22"/>
        </w:rPr>
        <w:t xml:space="preserve">At the foundation of all systems of belief and all cults, there must necessarily be a certain number of fundamental representations and modes of ritual conduct that despite the diversity of forms that the one and the other may have taken on, have the same objective meaning everywhere and everywhere fulfill the same functions.  It is these enduring elements that constitute what is eternal and human in religion (4). </w:t>
      </w:r>
    </w:p>
    <w:p w:rsidR="00E87C3B" w:rsidRPr="00BB7B9A" w:rsidRDefault="00E87C3B" w:rsidP="00BB7B9A">
      <w:pPr>
        <w:wordWrap/>
        <w:spacing w:line="360" w:lineRule="auto"/>
        <w:jc w:val="left"/>
        <w:rPr>
          <w:rFonts w:ascii="Times New Roman" w:hAnsi="Times New Roman" w:cs="Times New Roman"/>
          <w:sz w:val="22"/>
        </w:rPr>
      </w:pP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 xml:space="preserve">Durkheim sees human life as classified into two symbolic realms; the sacred and the profane.  The dichotomy of the sacred and the profane represents the division of reality into two modalities, that is, two heterogeneous and incompatible worlds.  The profane, first of all, is the realm of routine experience that we can know through our senses.  We experience this natural world of everyday life as comprehensible, knowable and taken-for-granted.  In contrast, the sacred exists beyond this mundane world.  Separated from everyday experience, the sacred being is an object of worship, inspiring feelings of awe among its believers.  It represents something forbidden as well as loved and worshipped.  </w:t>
      </w:r>
    </w:p>
    <w:p w:rsidR="00E87C3B" w:rsidRPr="00BB7B9A" w:rsidRDefault="00E87C3B" w:rsidP="00C2226B">
      <w:pPr>
        <w:wordWrap/>
        <w:spacing w:line="360" w:lineRule="auto"/>
        <w:ind w:firstLine="800"/>
        <w:jc w:val="left"/>
        <w:rPr>
          <w:rFonts w:ascii="Times New Roman" w:hAnsi="Times New Roman" w:cs="Times New Roman"/>
          <w:sz w:val="22"/>
        </w:rPr>
      </w:pPr>
      <w:r w:rsidRPr="00BB7B9A">
        <w:rPr>
          <w:rFonts w:ascii="Times New Roman" w:hAnsi="Times New Roman" w:cs="Times New Roman"/>
          <w:sz w:val="22"/>
        </w:rPr>
        <w:t xml:space="preserve">Sacred things are by definition things protected and isolated by prohibitions whereas profane things are those things to which the prohibitions are applied and that must kept at a distance from what is sacred (38).  However, in Durkheim’s account, the important thing is that the sacredness is not intrinsic properties of objects in which the sacredness is exhibited, but </w:t>
      </w:r>
      <w:r w:rsidRPr="00BB7B9A">
        <w:rPr>
          <w:rFonts w:ascii="Times New Roman" w:hAnsi="Times New Roman" w:cs="Times New Roman"/>
          <w:i/>
          <w:sz w:val="22"/>
        </w:rPr>
        <w:t>something</w:t>
      </w:r>
      <w:r w:rsidRPr="00BB7B9A">
        <w:rPr>
          <w:rFonts w:ascii="Times New Roman" w:hAnsi="Times New Roman" w:cs="Times New Roman"/>
          <w:sz w:val="22"/>
        </w:rPr>
        <w:t xml:space="preserve"> added to them.  As he writes, “the world of the religious is not a special aspect of empirical nature: </w:t>
      </w:r>
      <w:r w:rsidRPr="00BB7B9A">
        <w:rPr>
          <w:rFonts w:ascii="Times New Roman" w:hAnsi="Times New Roman" w:cs="Times New Roman"/>
          <w:i/>
          <w:sz w:val="22"/>
        </w:rPr>
        <w:t xml:space="preserve">It is superimposed </w:t>
      </w:r>
      <w:r w:rsidRPr="00BB7B9A">
        <w:rPr>
          <w:rFonts w:ascii="Times New Roman" w:hAnsi="Times New Roman" w:cs="Times New Roman"/>
          <w:i/>
          <w:sz w:val="22"/>
        </w:rPr>
        <w:lastRenderedPageBreak/>
        <w:t>upon nature</w:t>
      </w:r>
      <w:r w:rsidRPr="00BB7B9A">
        <w:rPr>
          <w:rFonts w:ascii="Times New Roman" w:hAnsi="Times New Roman" w:cs="Times New Roman"/>
          <w:sz w:val="22"/>
        </w:rPr>
        <w:t>” (230).  That the sacredness is not an aspect of empirical nature does not necessarily mean that it represents the world of mystery which is unknowable or incomprehensible.  Durkheim refuses to attribute the sacred to the mysterious character because the origin of the sacred is always social so that, he believes,</w:t>
      </w:r>
      <w:r w:rsidRPr="00BB7B9A">
        <w:rPr>
          <w:rFonts w:ascii="Times New Roman" w:hAnsi="Times New Roman" w:cs="Times New Roman" w:hint="eastAsia"/>
          <w:sz w:val="22"/>
        </w:rPr>
        <w:t xml:space="preserve"> it</w:t>
      </w:r>
      <w:r w:rsidRPr="00BB7B9A">
        <w:rPr>
          <w:rFonts w:ascii="Times New Roman" w:hAnsi="Times New Roman" w:cs="Times New Roman"/>
          <w:sz w:val="22"/>
        </w:rPr>
        <w:t xml:space="preserve"> is ‘</w:t>
      </w:r>
      <w:r w:rsidRPr="00BB7B9A">
        <w:rPr>
          <w:rFonts w:ascii="Times New Roman" w:hAnsi="Times New Roman" w:cs="Times New Roman"/>
          <w:i/>
          <w:sz w:val="22"/>
        </w:rPr>
        <w:t>real</w:t>
      </w:r>
      <w:r w:rsidRPr="00BB7B9A">
        <w:rPr>
          <w:rFonts w:ascii="Times New Roman" w:hAnsi="Times New Roman" w:cs="Times New Roman"/>
          <w:sz w:val="22"/>
        </w:rPr>
        <w:t xml:space="preserve">.’  For example, the totemic animal does inspire religious feelings, not because it has this or that appearance or property but because society imbues it with </w:t>
      </w:r>
      <w:r w:rsidRPr="00BB7B9A">
        <w:rPr>
          <w:rFonts w:ascii="Times New Roman" w:hAnsi="Times New Roman" w:cs="Times New Roman" w:hint="eastAsia"/>
          <w:sz w:val="22"/>
        </w:rPr>
        <w:t>a</w:t>
      </w:r>
      <w:r w:rsidRPr="00BB7B9A">
        <w:rPr>
          <w:rFonts w:ascii="Times New Roman" w:hAnsi="Times New Roman" w:cs="Times New Roman"/>
          <w:sz w:val="22"/>
        </w:rPr>
        <w:t xml:space="preserve"> sacred character.  The causes of religious feelings are entirely foreign to the nature of the sacred object.  “What constitutes those feelings are the impressions of reassurance and dependence that are created in consciousness through the working of society” (328).  There is no other place to observe the working of the society more vividly than the collective gathering or celebration where collective emotion runs high.  “Once the individuals are gathered together, a sort of electricity is generated from their closeness and quickly launches them to an extraordinary height of exaltation” (217).  During the effervescent gatherings, emotions, especially intense ones, are so contagious that they spread to all the other mental states that occupy the mind.  “It is in these effervescent social milieux, and indeed from that very effervescence, that the religious idea seems to have been born” (220).  The sacredness is acquired from the contagious emotional energies and is transmitted contagiously during the effervescent gatherings. </w:t>
      </w:r>
    </w:p>
    <w:p w:rsidR="00E87C3B" w:rsidRPr="00BB7B9A" w:rsidRDefault="00E87C3B" w:rsidP="00BB7B9A">
      <w:pPr>
        <w:wordWrap/>
        <w:spacing w:line="360" w:lineRule="auto"/>
        <w:ind w:firstLine="800"/>
        <w:jc w:val="left"/>
        <w:rPr>
          <w:rFonts w:ascii="Times New Roman" w:hAnsi="Times New Roman" w:cs="Times New Roman"/>
          <w:sz w:val="22"/>
        </w:rPr>
      </w:pPr>
      <w:r w:rsidRPr="00BB7B9A">
        <w:rPr>
          <w:rFonts w:ascii="Times New Roman" w:hAnsi="Times New Roman" w:cs="Times New Roman"/>
          <w:sz w:val="22"/>
        </w:rPr>
        <w:t>Through the account of the origin of the sacred in the contagious emotional energies of effervescent gatherings, we now come to see that for Durkheim the sacred as an object of worship ultimately implies the socially produced symbolic representation of society.  That is, in Nisbet’</w:t>
      </w:r>
      <w:r w:rsidRPr="00BB7B9A">
        <w:rPr>
          <w:rFonts w:ascii="Times New Roman" w:hAnsi="Times New Roman" w:cs="Times New Roman" w:hint="eastAsia"/>
          <w:sz w:val="22"/>
        </w:rPr>
        <w:t>s</w:t>
      </w:r>
      <w:r w:rsidRPr="00BB7B9A">
        <w:rPr>
          <w:rFonts w:ascii="Times New Roman" w:hAnsi="Times New Roman" w:cs="Times New Roman"/>
          <w:sz w:val="22"/>
        </w:rPr>
        <w:t xml:space="preserve"> (1974) words, “the collective and the sacred, are for Durkheim but two sides of the same coin” (80).  Durkheim argues that in primitive Australian society, the members of the clan worshiped the society itself through the emblem of the totem.  For them, society was ‘the object of genuine respect.’  “Society in general, simply by its effect on men’s minds, undoubtedly has all that is required to arouse the sensation of the divine.  A society is to its members what a god is to its faithful” (208).  The essence of religion is the worship of society.  Religion is nothing other than the collective force of society over the individual.  He writes that “religion is first and foremost a system of ideas by means of which individuals imagine the society of which they are members and the obscure yet intimate relations they have with it” (227).  With the proposition that religion is an eminently social thing, </w:t>
      </w:r>
      <w:r w:rsidRPr="00BB7B9A">
        <w:rPr>
          <w:rFonts w:ascii="Times New Roman" w:hAnsi="Times New Roman" w:cs="Times New Roman" w:hint="eastAsia"/>
          <w:sz w:val="22"/>
        </w:rPr>
        <w:t>Durkheim</w:t>
      </w:r>
      <w:r w:rsidRPr="00BB7B9A">
        <w:rPr>
          <w:rFonts w:ascii="Times New Roman" w:hAnsi="Times New Roman" w:cs="Times New Roman"/>
          <w:sz w:val="22"/>
        </w:rPr>
        <w:t xml:space="preserve"> eventually wants to emphasize the religious character of society and its formidable power to create gods or sacred objects worshipped and to foster existing beliefs.  The fundamental cause of religion cannot be found in definite and distinct objects or beings that are believed to possess sacredness, but in social, indefinite and anonymous, forces that create sacred beings.  Certainly he does not choose the concept of the sacred over the concept of </w:t>
      </w:r>
      <w:r w:rsidRPr="00BB7B9A">
        <w:rPr>
          <w:rFonts w:ascii="Times New Roman" w:hAnsi="Times New Roman" w:cs="Times New Roman" w:hint="eastAsia"/>
          <w:sz w:val="22"/>
        </w:rPr>
        <w:t xml:space="preserve">the </w:t>
      </w:r>
      <w:r w:rsidRPr="00BB7B9A">
        <w:rPr>
          <w:rFonts w:ascii="Times New Roman" w:hAnsi="Times New Roman" w:cs="Times New Roman"/>
          <w:sz w:val="22"/>
        </w:rPr>
        <w:t>supernatural or the concept of the divinity without reason.  Religion cannot be defined by the ideas of mythical personalities, gods, or spirits.  Those ideas cannot be necessary and sufficient condition</w:t>
      </w:r>
      <w:r w:rsidRPr="00BB7B9A">
        <w:rPr>
          <w:rFonts w:ascii="Times New Roman" w:hAnsi="Times New Roman" w:cs="Times New Roman" w:hint="eastAsia"/>
          <w:sz w:val="22"/>
        </w:rPr>
        <w:t>s</w:t>
      </w:r>
      <w:r w:rsidRPr="00BB7B9A">
        <w:rPr>
          <w:rFonts w:ascii="Times New Roman" w:hAnsi="Times New Roman" w:cs="Times New Roman"/>
          <w:sz w:val="22"/>
        </w:rPr>
        <w:t xml:space="preserve"> to define all religions.   Durkheim wants to find a </w:t>
      </w:r>
      <w:r w:rsidRPr="00BB7B9A">
        <w:rPr>
          <w:rFonts w:ascii="Times New Roman" w:hAnsi="Times New Roman" w:cs="Times New Roman" w:hint="eastAsia"/>
          <w:sz w:val="22"/>
        </w:rPr>
        <w:t>deeper</w:t>
      </w:r>
      <w:r w:rsidRPr="00BB7B9A">
        <w:rPr>
          <w:rFonts w:ascii="Times New Roman" w:hAnsi="Times New Roman" w:cs="Times New Roman"/>
          <w:sz w:val="22"/>
        </w:rPr>
        <w:t xml:space="preserve"> essential and a more fundamental element found in all religions throughout the world.  Th</w:t>
      </w:r>
      <w:r w:rsidRPr="00BB7B9A">
        <w:rPr>
          <w:rFonts w:ascii="Times New Roman" w:hAnsi="Times New Roman" w:cs="Times New Roman" w:hint="eastAsia"/>
          <w:sz w:val="22"/>
        </w:rPr>
        <w:t>ese are</w:t>
      </w:r>
      <w:r w:rsidRPr="00BB7B9A">
        <w:rPr>
          <w:rFonts w:ascii="Times New Roman" w:hAnsi="Times New Roman" w:cs="Times New Roman"/>
          <w:sz w:val="22"/>
        </w:rPr>
        <w:t xml:space="preserve"> the social forces.  Thus, for him, there is no divine personality </w:t>
      </w:r>
      <w:r w:rsidRPr="00BB7B9A">
        <w:rPr>
          <w:rFonts w:ascii="Times New Roman" w:hAnsi="Times New Roman" w:cs="Times New Roman"/>
          <w:sz w:val="22"/>
        </w:rPr>
        <w:lastRenderedPageBreak/>
        <w:t xml:space="preserve">without social forces.  What he tries to do in </w:t>
      </w:r>
      <w:r w:rsidRPr="00BB7B9A">
        <w:rPr>
          <w:rFonts w:ascii="Times New Roman" w:hAnsi="Times New Roman" w:cs="Times New Roman"/>
          <w:i/>
          <w:iCs/>
          <w:sz w:val="22"/>
        </w:rPr>
        <w:t>The Elementary Forms of Religious Life</w:t>
      </w:r>
      <w:r w:rsidRPr="00BB7B9A">
        <w:rPr>
          <w:rFonts w:ascii="Times New Roman" w:hAnsi="Times New Roman" w:cs="Times New Roman"/>
          <w:sz w:val="22"/>
        </w:rPr>
        <w:t xml:space="preserve"> is to detect this social force through the study of the simplest form of religion.  </w:t>
      </w:r>
    </w:p>
    <w:p w:rsidR="00E87C3B" w:rsidRPr="00BB7B9A" w:rsidRDefault="00E87C3B" w:rsidP="00BB7B9A">
      <w:pPr>
        <w:wordWrap/>
        <w:spacing w:line="360" w:lineRule="auto"/>
        <w:ind w:firstLine="800"/>
        <w:jc w:val="left"/>
        <w:rPr>
          <w:rFonts w:ascii="Times New Roman" w:hAnsi="Times New Roman" w:cs="Times New Roman"/>
          <w:sz w:val="22"/>
        </w:rPr>
      </w:pPr>
      <w:r w:rsidRPr="00BB7B9A">
        <w:rPr>
          <w:rFonts w:ascii="Times New Roman" w:hAnsi="Times New Roman" w:cs="Times New Roman"/>
          <w:sz w:val="22"/>
        </w:rPr>
        <w:t xml:space="preserve">In Durkheim’s account of the elementary forms of religious life, it is </w:t>
      </w:r>
      <w:r w:rsidRPr="00BB7B9A">
        <w:rPr>
          <w:rFonts w:ascii="Times New Roman" w:hAnsi="Times New Roman" w:cs="Times New Roman" w:hint="eastAsia"/>
          <w:sz w:val="22"/>
        </w:rPr>
        <w:t>evident</w:t>
      </w:r>
      <w:r w:rsidRPr="00BB7B9A">
        <w:rPr>
          <w:rFonts w:ascii="Times New Roman" w:hAnsi="Times New Roman" w:cs="Times New Roman"/>
          <w:sz w:val="22"/>
        </w:rPr>
        <w:t xml:space="preserve"> that religion and society seem to overlap, that is, they are interwoven in an inextricable way.  As a matter of fact, Durkheim’s purpose is not to explain religious phenomena, but to show the religious character of social reality, i.e., that the social reality is religious and the religious condition is social (Cipriani 2000, 67).  For Durkheim, the sacred is whatever it is that a society deems to be sacred.  </w:t>
      </w:r>
    </w:p>
    <w:p w:rsidR="00E87C3B" w:rsidRPr="00BB7B9A" w:rsidRDefault="00E87C3B" w:rsidP="00BB7B9A">
      <w:pPr>
        <w:wordWrap/>
        <w:spacing w:line="360" w:lineRule="auto"/>
        <w:ind w:firstLine="800"/>
        <w:jc w:val="left"/>
        <w:rPr>
          <w:rFonts w:ascii="Times New Roman" w:hAnsi="Times New Roman" w:cs="Times New Roman"/>
          <w:sz w:val="22"/>
        </w:rPr>
      </w:pPr>
      <w:r w:rsidRPr="00BB7B9A">
        <w:rPr>
          <w:rFonts w:ascii="Times New Roman" w:hAnsi="Times New Roman" w:cs="Times New Roman"/>
          <w:sz w:val="22"/>
        </w:rPr>
        <w:t>If the essence of religion is the worship of society</w:t>
      </w:r>
      <w:r w:rsidR="00C2226B">
        <w:rPr>
          <w:rFonts w:ascii="Times New Roman" w:hAnsi="Times New Roman" w:cs="Times New Roman" w:hint="eastAsia"/>
          <w:sz w:val="22"/>
        </w:rPr>
        <w:t>,</w:t>
      </w:r>
      <w:r w:rsidRPr="00BB7B9A">
        <w:rPr>
          <w:rFonts w:ascii="Times New Roman" w:hAnsi="Times New Roman" w:cs="Times New Roman"/>
          <w:sz w:val="22"/>
        </w:rPr>
        <w:t xml:space="preserve"> as he concludes, how did he know that?  How could he reach this conclusion?  He acknowledges in the beginning of the book that it is not easy to find a common basis of religious life through “the clash of theologies, the variations of ritual, the multiplicity of groupings, and the diversity of individuals” (5).  It is indeed possible to study fruitfully some particular religious phenomena such as prophetism, monasticism or the mysteries in the well-developed religious system, but it is not possible to find the common basis of religious life by observing the complex religions that have arise</w:t>
      </w:r>
      <w:r w:rsidRPr="00BB7B9A">
        <w:rPr>
          <w:rFonts w:ascii="Times New Roman" w:hAnsi="Times New Roman" w:cs="Times New Roman" w:hint="eastAsia"/>
          <w:sz w:val="22"/>
        </w:rPr>
        <w:t>n</w:t>
      </w:r>
      <w:r w:rsidRPr="00BB7B9A">
        <w:rPr>
          <w:rFonts w:ascii="Times New Roman" w:hAnsi="Times New Roman" w:cs="Times New Roman"/>
          <w:sz w:val="22"/>
        </w:rPr>
        <w:t xml:space="preserve"> in the course of history.  The strategy he takes is to reduce the differences and variations to a minimum or essentials.  But such a reduction cannot be achieved by considering the actual ideas which constitute various religious beliefs.  He cannot introduce any criteria of deciding what is preserved and what is left out in the process of reduction.  Instead, he just assumes that in spite of the diversity of religious forms there is a fundamental representation and mode of ritual conduct, and what is fundamental or primary can be discovered in </w:t>
      </w:r>
      <w:r w:rsidRPr="00BB7B9A">
        <w:rPr>
          <w:rFonts w:ascii="Times New Roman" w:hAnsi="Times New Roman" w:cs="Times New Roman" w:hint="eastAsia"/>
          <w:sz w:val="22"/>
        </w:rPr>
        <w:t>a</w:t>
      </w:r>
      <w:r w:rsidRPr="00BB7B9A">
        <w:rPr>
          <w:rFonts w:ascii="Times New Roman" w:hAnsi="Times New Roman" w:cs="Times New Roman"/>
          <w:sz w:val="22"/>
        </w:rPr>
        <w:t xml:space="preserve"> primitive society because it is simple.  He writes that “primitive religions do not merely allow us to isolate the constituent elements of religion; the</w:t>
      </w:r>
      <w:r w:rsidRPr="00BB7B9A">
        <w:rPr>
          <w:rFonts w:ascii="Times New Roman" w:hAnsi="Times New Roman" w:cs="Times New Roman" w:hint="eastAsia"/>
          <w:sz w:val="22"/>
        </w:rPr>
        <w:t>ir</w:t>
      </w:r>
      <w:r w:rsidRPr="00BB7B9A">
        <w:rPr>
          <w:rFonts w:ascii="Times New Roman" w:hAnsi="Times New Roman" w:cs="Times New Roman"/>
          <w:sz w:val="22"/>
        </w:rPr>
        <w:t xml:space="preserve"> great advantage is also that they aid in its explanation” (6).  Thus, in Durkheim’s conclusion is implied that all religious rituals have the same objective meaning, i.e. ‘the worship of society,’ and fulfill the same function, i.e., ‘solidarity,’ and the content of the beliefs that the participants have and the expressed purposes of the rituals have nothing to do with allegedly </w:t>
      </w:r>
      <w:r w:rsidRPr="00BB7B9A">
        <w:rPr>
          <w:rFonts w:ascii="Times New Roman" w:hAnsi="Times New Roman" w:cs="Times New Roman"/>
          <w:i/>
          <w:sz w:val="22"/>
        </w:rPr>
        <w:t>real</w:t>
      </w:r>
      <w:r w:rsidRPr="00BB7B9A">
        <w:rPr>
          <w:rFonts w:ascii="Times New Roman" w:hAnsi="Times New Roman" w:cs="Times New Roman"/>
          <w:sz w:val="22"/>
        </w:rPr>
        <w:t xml:space="preserve"> meanings and </w:t>
      </w:r>
      <w:r w:rsidRPr="00BB7B9A">
        <w:rPr>
          <w:rFonts w:ascii="Times New Roman" w:hAnsi="Times New Roman" w:cs="Times New Roman"/>
          <w:i/>
          <w:sz w:val="22"/>
        </w:rPr>
        <w:t>real</w:t>
      </w:r>
      <w:r w:rsidRPr="00BB7B9A">
        <w:rPr>
          <w:rFonts w:ascii="Times New Roman" w:hAnsi="Times New Roman" w:cs="Times New Roman"/>
          <w:sz w:val="22"/>
        </w:rPr>
        <w:t xml:space="preserve"> purposes of religious rituals.  Indeed, the contents of the religious beliefs and practices are of secondary importance to him.  Religious beliefs and practices, however diverse they may be, serve to fulfill a common function which is to perpetuate social solidarity.</w:t>
      </w:r>
      <w:r w:rsidRPr="00BB7B9A">
        <w:rPr>
          <w:rStyle w:val="a7"/>
          <w:rFonts w:ascii="Times New Roman" w:hAnsi="Times New Roman"/>
          <w:sz w:val="22"/>
        </w:rPr>
        <w:footnoteReference w:id="4"/>
      </w:r>
      <w:r w:rsidRPr="00BB7B9A">
        <w:rPr>
          <w:rFonts w:ascii="Times New Roman" w:hAnsi="Times New Roman" w:cs="Times New Roman"/>
          <w:sz w:val="22"/>
        </w:rPr>
        <w:t xml:space="preserve"> </w:t>
      </w:r>
    </w:p>
    <w:p w:rsidR="00E87C3B" w:rsidRPr="00BB7B9A" w:rsidRDefault="00E87C3B" w:rsidP="00BB7B9A">
      <w:pPr>
        <w:wordWrap/>
        <w:spacing w:line="360" w:lineRule="auto"/>
        <w:ind w:firstLine="760"/>
        <w:jc w:val="left"/>
        <w:rPr>
          <w:rFonts w:ascii="Times New Roman" w:hAnsi="Times New Roman" w:cs="Times New Roman"/>
          <w:sz w:val="22"/>
        </w:rPr>
      </w:pPr>
      <w:r w:rsidRPr="00BB7B9A">
        <w:rPr>
          <w:rFonts w:ascii="Times New Roman" w:hAnsi="Times New Roman" w:cs="Times New Roman"/>
          <w:sz w:val="22"/>
        </w:rPr>
        <w:t>Let alone the empirical inaccuracies of Durkheim’s sociology,</w:t>
      </w:r>
      <w:r w:rsidRPr="00BB7B9A">
        <w:rPr>
          <w:rStyle w:val="a7"/>
          <w:rFonts w:ascii="Times New Roman" w:hAnsi="Times New Roman"/>
          <w:sz w:val="22"/>
        </w:rPr>
        <w:footnoteReference w:id="5"/>
      </w:r>
      <w:r w:rsidRPr="00BB7B9A">
        <w:rPr>
          <w:rFonts w:ascii="Times New Roman" w:hAnsi="Times New Roman" w:cs="Times New Roman"/>
          <w:sz w:val="22"/>
        </w:rPr>
        <w:t xml:space="preserve"> Durkheim’s explanation presents a serious pitfall </w:t>
      </w:r>
      <w:r w:rsidRPr="00BB7B9A">
        <w:rPr>
          <w:rFonts w:ascii="Times New Roman" w:hAnsi="Times New Roman" w:cs="Times New Roman" w:hint="eastAsia"/>
          <w:sz w:val="22"/>
        </w:rPr>
        <w:t>with</w:t>
      </w:r>
      <w:r w:rsidRPr="00BB7B9A">
        <w:rPr>
          <w:rFonts w:ascii="Times New Roman" w:hAnsi="Times New Roman" w:cs="Times New Roman"/>
          <w:sz w:val="22"/>
        </w:rPr>
        <w:t xml:space="preserve"> its reductionistic approach.  The reduction refers to the process by which one object, property, concept, theory, etc are shown to be entirely dispensable in favor of another.  Durkheim transforms the concreteness of religious beliefs and practices into the function of </w:t>
      </w:r>
      <w:r w:rsidRPr="00BB7B9A">
        <w:rPr>
          <w:rFonts w:ascii="Times New Roman" w:hAnsi="Times New Roman" w:cs="Times New Roman"/>
          <w:sz w:val="22"/>
        </w:rPr>
        <w:lastRenderedPageBreak/>
        <w:t>social solidarity in the process of studying them.  Thus, Durkheim’s reductionistic approach makes what the participants think they are doing insignificant in an explanation of what they are doing (Hamilton 1995, 106).  In his reducing attempt, the language of religious beliefs is replaced by the language of the social reality which produces them.  After reducing religious beliefs to something else, however, nothing</w:t>
      </w:r>
      <w:r w:rsidRPr="00BB7B9A">
        <w:rPr>
          <w:rFonts w:ascii="Times New Roman" w:hAnsi="Times New Roman" w:cs="Times New Roman" w:hint="eastAsia"/>
          <w:sz w:val="22"/>
        </w:rPr>
        <w:t xml:space="preserve"> is</w:t>
      </w:r>
      <w:r w:rsidRPr="00BB7B9A">
        <w:rPr>
          <w:rFonts w:ascii="Times New Roman" w:hAnsi="Times New Roman" w:cs="Times New Roman"/>
          <w:sz w:val="22"/>
        </w:rPr>
        <w:t xml:space="preserve"> left to be explained </w:t>
      </w:r>
      <w:r w:rsidRPr="00BB7B9A">
        <w:rPr>
          <w:rFonts w:ascii="Times New Roman" w:hAnsi="Times New Roman" w:cs="Times New Roman" w:hint="eastAsia"/>
          <w:sz w:val="22"/>
        </w:rPr>
        <w:t>since</w:t>
      </w:r>
      <w:r w:rsidRPr="00BB7B9A">
        <w:rPr>
          <w:rFonts w:ascii="Times New Roman" w:hAnsi="Times New Roman" w:cs="Times New Roman"/>
          <w:sz w:val="22"/>
        </w:rPr>
        <w:t xml:space="preserve"> they are shown to be a façade for social processes (Berryman 2001, 594).  Religious believers are mistakenly doing religious practices without knowing what they are doing.  Durkheim is involved in reducing religious language to a terminology (the sacred) which enabled one to explain it away.  The result is that the sacred loses its status as the object of study which should be treated in its own right.  In Durkheim’s sociology, thus, there is no need to ask what sort of accounts are given by the religious practitioners and what kind of meaning religious ideas do have in the context of religious life since the objective meanings and the functions are already assumed in the process of reduction.  Eventually, Durkheim turns our attention </w:t>
      </w:r>
      <w:r w:rsidRPr="00BB7B9A">
        <w:rPr>
          <w:rFonts w:ascii="Times New Roman" w:hAnsi="Times New Roman" w:cs="Times New Roman" w:hint="eastAsia"/>
          <w:sz w:val="22"/>
        </w:rPr>
        <w:t xml:space="preserve">away </w:t>
      </w:r>
      <w:r w:rsidRPr="00BB7B9A">
        <w:rPr>
          <w:rFonts w:ascii="Times New Roman" w:hAnsi="Times New Roman" w:cs="Times New Roman"/>
          <w:sz w:val="22"/>
        </w:rPr>
        <w:t xml:space="preserve">from the scene where the religious concepts are at work in people’s lives.  </w:t>
      </w:r>
    </w:p>
    <w:p w:rsidR="00E87C3B" w:rsidRPr="00BB7B9A" w:rsidRDefault="00E87C3B" w:rsidP="00BB7B9A">
      <w:pPr>
        <w:wordWrap/>
        <w:spacing w:line="360" w:lineRule="auto"/>
        <w:ind w:firstLine="800"/>
        <w:jc w:val="left"/>
        <w:rPr>
          <w:rFonts w:ascii="Times New Roman" w:hAnsi="Times New Roman" w:cs="Times New Roman"/>
          <w:sz w:val="22"/>
        </w:rPr>
      </w:pPr>
      <w:r w:rsidRPr="00BB7B9A">
        <w:rPr>
          <w:rFonts w:ascii="Times New Roman" w:hAnsi="Times New Roman" w:cs="Times New Roman"/>
          <w:sz w:val="22"/>
        </w:rPr>
        <w:t xml:space="preserve">Hamilton (1995) points out a fundamental problem in Durkheim’s account of religion with relation to the origin of the basic categories of thought.  Durkheim argues that these basic categories of thought such as time, space, number, cause, substance and personality are generated in and through the experience of the social and are sustained by collective ritual.  But how could there be any social order without the prior existence of the essential concepts with which human beings think and make sense of the world?  W. G. Runciman (1969) makes this point clear in his criticism </w:t>
      </w:r>
      <w:r w:rsidRPr="00BB7B9A">
        <w:rPr>
          <w:rFonts w:ascii="Times New Roman" w:hAnsi="Times New Roman" w:cs="Times New Roman" w:hint="eastAsia"/>
          <w:sz w:val="22"/>
        </w:rPr>
        <w:t>of</w:t>
      </w:r>
      <w:r w:rsidRPr="00BB7B9A">
        <w:rPr>
          <w:rFonts w:ascii="Times New Roman" w:hAnsi="Times New Roman" w:cs="Times New Roman"/>
          <w:sz w:val="22"/>
        </w:rPr>
        <w:t xml:space="preserve"> Durkheim’s argument about the origin of the basic categories of thought.  He writes that </w:t>
      </w:r>
    </w:p>
    <w:p w:rsidR="00E87C3B" w:rsidRPr="00BB7B9A" w:rsidRDefault="00E87C3B" w:rsidP="00BB7B9A">
      <w:pPr>
        <w:wordWrap/>
        <w:spacing w:line="360" w:lineRule="auto"/>
        <w:ind w:leftChars="400" w:left="800" w:rightChars="400" w:right="800"/>
        <w:jc w:val="left"/>
        <w:rPr>
          <w:rFonts w:ascii="Times New Roman" w:hAnsi="Times New Roman" w:cs="Times New Roman"/>
          <w:sz w:val="22"/>
        </w:rPr>
      </w:pPr>
    </w:p>
    <w:p w:rsidR="00E87C3B" w:rsidRPr="00BB7B9A" w:rsidRDefault="00E87C3B" w:rsidP="00D1586E">
      <w:pPr>
        <w:wordWrap/>
        <w:ind w:leftChars="400" w:left="800" w:rightChars="400" w:right="800"/>
        <w:jc w:val="left"/>
        <w:rPr>
          <w:rFonts w:ascii="Times New Roman" w:hAnsi="Times New Roman" w:cs="Times New Roman"/>
          <w:sz w:val="22"/>
        </w:rPr>
      </w:pPr>
      <w:r w:rsidRPr="00BB7B9A">
        <w:rPr>
          <w:rFonts w:ascii="Times New Roman" w:hAnsi="Times New Roman" w:cs="Times New Roman"/>
          <w:sz w:val="22"/>
        </w:rPr>
        <w:t xml:space="preserve">We are told in </w:t>
      </w:r>
      <w:r w:rsidRPr="00BB7B9A">
        <w:rPr>
          <w:rFonts w:ascii="Times New Roman" w:hAnsi="Times New Roman" w:cs="Times New Roman"/>
          <w:i/>
          <w:sz w:val="22"/>
        </w:rPr>
        <w:t>The Elementary Forms</w:t>
      </w:r>
      <w:r w:rsidRPr="00BB7B9A">
        <w:rPr>
          <w:rFonts w:ascii="Times New Roman" w:hAnsi="Times New Roman" w:cs="Times New Roman"/>
          <w:sz w:val="22"/>
        </w:rPr>
        <w:t xml:space="preserve"> that conceptual and logical thought are social in origin not merely in the sense that individual thinkers are taught and influenced by each other but in the sense that the perception of society precedes and causes the development of logic.  But the perception of society as unitary, hierarchical, differentiated and so forth must </w:t>
      </w:r>
      <w:r w:rsidRPr="00BB7B9A">
        <w:rPr>
          <w:rFonts w:ascii="Times New Roman" w:hAnsi="Times New Roman" w:cs="Times New Roman"/>
          <w:i/>
          <w:sz w:val="22"/>
        </w:rPr>
        <w:t>presuppose</w:t>
      </w:r>
      <w:r w:rsidRPr="00BB7B9A">
        <w:rPr>
          <w:rFonts w:ascii="Times New Roman" w:hAnsi="Times New Roman" w:cs="Times New Roman"/>
          <w:sz w:val="22"/>
        </w:rPr>
        <w:t xml:space="preserve"> the concepts of unity, hierarchy and differentiation (190). </w:t>
      </w:r>
    </w:p>
    <w:p w:rsidR="00E87C3B" w:rsidRPr="00BB7B9A" w:rsidRDefault="00E87C3B" w:rsidP="00BB7B9A">
      <w:pPr>
        <w:wordWrap/>
        <w:spacing w:line="360" w:lineRule="auto"/>
        <w:ind w:firstLine="800"/>
        <w:jc w:val="left"/>
        <w:rPr>
          <w:rFonts w:ascii="Times New Roman" w:hAnsi="Times New Roman" w:cs="Times New Roman"/>
          <w:sz w:val="22"/>
        </w:rPr>
      </w:pP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 xml:space="preserve">Phillips (1976) makes the same point about Durkheim’s functional explanation of religious beliefs.  He contends that Durkheim “wants to argue that the ideas people share in a society, the beliefs they hold, can be explained in terms of the common social bonds they create.  What he fails to recognize is that the common social bonds are only intelligible in terms of the common ideas, beliefs and activities people share” (Phillips 1976, 92).  The social bond presupposes intelligibility in order to be recognized, and therefore it cannot be postulated in order to explain the origins of ideas that make it intelligible. </w:t>
      </w:r>
    </w:p>
    <w:p w:rsidR="00E87C3B" w:rsidRPr="00BB7B9A" w:rsidRDefault="00E87C3B" w:rsidP="00BB7B9A">
      <w:pPr>
        <w:wordWrap/>
        <w:spacing w:line="360" w:lineRule="auto"/>
        <w:jc w:val="left"/>
        <w:rPr>
          <w:rFonts w:ascii="Times New Roman" w:hAnsi="Times New Roman" w:cs="Times New Roman"/>
          <w:sz w:val="22"/>
        </w:rPr>
      </w:pPr>
    </w:p>
    <w:p w:rsidR="00E87C3B" w:rsidRPr="00BB7B9A" w:rsidRDefault="00E87C3B" w:rsidP="00611164">
      <w:pPr>
        <w:pStyle w:val="1"/>
        <w:numPr>
          <w:ilvl w:val="0"/>
          <w:numId w:val="29"/>
        </w:numPr>
        <w:wordWrap/>
        <w:spacing w:line="360" w:lineRule="auto"/>
        <w:ind w:leftChars="0"/>
        <w:jc w:val="left"/>
        <w:rPr>
          <w:rFonts w:ascii="Times New Roman" w:hAnsi="Times New Roman" w:cs="Times New Roman"/>
          <w:sz w:val="22"/>
        </w:rPr>
      </w:pPr>
      <w:r w:rsidRPr="00BB7B9A">
        <w:rPr>
          <w:rFonts w:ascii="Times New Roman" w:hAnsi="Times New Roman" w:cs="Times New Roman"/>
          <w:sz w:val="22"/>
        </w:rPr>
        <w:t>The Phenomenological Tradition – The Sacred as a Mode of Experience</w:t>
      </w:r>
    </w:p>
    <w:p w:rsidR="00611164" w:rsidRDefault="00611164" w:rsidP="00BB7B9A">
      <w:pPr>
        <w:wordWrap/>
        <w:spacing w:line="360" w:lineRule="auto"/>
        <w:jc w:val="left"/>
        <w:rPr>
          <w:rFonts w:ascii="Times New Roman" w:hAnsi="Times New Roman" w:cs="Times New Roman"/>
          <w:sz w:val="22"/>
        </w:rPr>
      </w:pP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 xml:space="preserve">The phenomenology of religion concerns mainly the experiential aspect of religion.  On the basis of </w:t>
      </w:r>
      <w:r w:rsidRPr="00BB7B9A">
        <w:rPr>
          <w:rFonts w:ascii="Times New Roman" w:hAnsi="Times New Roman" w:cs="Times New Roman"/>
          <w:sz w:val="22"/>
        </w:rPr>
        <w:lastRenderedPageBreak/>
        <w:t xml:space="preserve">the premise that religion is an observable phenomenon of human life, it seeks to understand religion by giving descriptive analyses of that aspect of human experience.  “Instead of trying to identify the single and definitive core element, or providing an account of religion’s origin and development, phenomenologists have worked to describe the manner and form in which religious phenomena appear in human experience” (Capps 1995, 107).  In the phenomenological tradition, the sacred, as a manifestation of a reality of a wholly different order from natural belief, has come to serve as the distinctive category defining the religion.  </w:t>
      </w:r>
    </w:p>
    <w:p w:rsidR="00E87C3B" w:rsidRPr="00BB7B9A" w:rsidRDefault="00E87C3B" w:rsidP="00BB7B9A">
      <w:pPr>
        <w:wordWrap/>
        <w:spacing w:line="360" w:lineRule="auto"/>
        <w:ind w:firstLine="720"/>
        <w:jc w:val="left"/>
        <w:rPr>
          <w:rFonts w:ascii="Times New Roman" w:hAnsi="Times New Roman" w:cs="Times New Roman"/>
          <w:sz w:val="22"/>
        </w:rPr>
      </w:pPr>
      <w:r w:rsidRPr="00BB7B9A">
        <w:rPr>
          <w:rFonts w:ascii="Times New Roman" w:hAnsi="Times New Roman" w:cs="Times New Roman"/>
          <w:sz w:val="22"/>
        </w:rPr>
        <w:t>The basic phenomenological attitude toward the sacred is characterized by the ‘phenomenological reduction,’</w:t>
      </w:r>
      <w:r w:rsidRPr="00BB7B9A">
        <w:rPr>
          <w:rStyle w:val="a7"/>
          <w:rFonts w:ascii="Times New Roman" w:hAnsi="Times New Roman"/>
          <w:sz w:val="22"/>
        </w:rPr>
        <w:footnoteReference w:id="6"/>
      </w:r>
      <w:r w:rsidRPr="00BB7B9A">
        <w:rPr>
          <w:rFonts w:ascii="Times New Roman" w:hAnsi="Times New Roman" w:cs="Times New Roman"/>
          <w:sz w:val="22"/>
        </w:rPr>
        <w:t xml:space="preserve"> which is the act of suspending judgment about the sacred reality and of perceiving it only in the light of one’s own experience.  It is assumed that one’s subjective perception of the bracketed phenomenon, i.e., the sacred, is the truest form of experience one can have in perceiving it.  </w:t>
      </w: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ab/>
        <w:t xml:space="preserve">First, Rudolf Otto’s </w:t>
      </w:r>
      <w:r w:rsidRPr="00BB7B9A">
        <w:rPr>
          <w:rFonts w:ascii="Times New Roman" w:hAnsi="Times New Roman" w:cs="Times New Roman"/>
          <w:i/>
          <w:sz w:val="22"/>
        </w:rPr>
        <w:t xml:space="preserve">The Idea of Holy </w:t>
      </w:r>
      <w:r w:rsidRPr="00BB7B9A">
        <w:rPr>
          <w:rFonts w:ascii="Times New Roman" w:hAnsi="Times New Roman" w:cs="Times New Roman"/>
          <w:sz w:val="22"/>
        </w:rPr>
        <w:t xml:space="preserve">(1923) is one of </w:t>
      </w:r>
      <w:r w:rsidRPr="00BB7B9A">
        <w:rPr>
          <w:rFonts w:ascii="Times New Roman" w:hAnsi="Times New Roman" w:cs="Times New Roman" w:hint="eastAsia"/>
          <w:sz w:val="22"/>
        </w:rPr>
        <w:t xml:space="preserve">the </w:t>
      </w:r>
      <w:r w:rsidRPr="00BB7B9A">
        <w:rPr>
          <w:rFonts w:ascii="Times New Roman" w:hAnsi="Times New Roman" w:cs="Times New Roman"/>
          <w:sz w:val="22"/>
        </w:rPr>
        <w:t xml:space="preserve">classic phenomenological accounts of the sacred emphasizing </w:t>
      </w:r>
      <w:r w:rsidRPr="00BB7B9A">
        <w:rPr>
          <w:rFonts w:ascii="Times New Roman" w:eastAsia="굴림" w:hAnsi="Times New Roman" w:cs="Times New Roman"/>
          <w:kern w:val="0"/>
          <w:sz w:val="22"/>
        </w:rPr>
        <w:t xml:space="preserve">the study of religion through the description of </w:t>
      </w:r>
      <w:bookmarkStart w:id="0" w:name="ref538784"/>
      <w:bookmarkEnd w:id="0"/>
      <w:r w:rsidRPr="00BB7B9A">
        <w:rPr>
          <w:rFonts w:ascii="Times New Roman" w:eastAsia="굴림" w:hAnsi="Times New Roman" w:cs="Times New Roman"/>
          <w:kern w:val="0"/>
          <w:sz w:val="22"/>
        </w:rPr>
        <w:t xml:space="preserve">religious </w:t>
      </w:r>
      <w:r w:rsidRPr="00BB7B9A">
        <w:rPr>
          <w:rFonts w:ascii="Times New Roman" w:eastAsia="굴림" w:hAnsi="Times New Roman" w:cs="Times New Roman" w:hint="eastAsia"/>
          <w:kern w:val="0"/>
          <w:sz w:val="22"/>
        </w:rPr>
        <w:t>person</w:t>
      </w:r>
      <w:r w:rsidRPr="00BB7B9A">
        <w:rPr>
          <w:rFonts w:ascii="Times New Roman" w:eastAsia="굴림" w:hAnsi="Times New Roman" w:cs="Times New Roman"/>
          <w:kern w:val="0"/>
          <w:sz w:val="22"/>
        </w:rPr>
        <w:t xml:space="preserve">’s experience of the ‘numinous’ (a mysterious, majestic presence inspiring dread and fascination), which cannot be derived from anything other than an </w:t>
      </w:r>
      <w:r w:rsidRPr="00BB7B9A">
        <w:rPr>
          <w:rFonts w:ascii="Times New Roman" w:eastAsia="굴림" w:hAnsi="Times New Roman" w:cs="Times New Roman"/>
          <w:i/>
          <w:kern w:val="0"/>
          <w:sz w:val="22"/>
        </w:rPr>
        <w:t>a priori</w:t>
      </w:r>
      <w:r w:rsidRPr="00BB7B9A">
        <w:rPr>
          <w:rFonts w:ascii="Times New Roman" w:eastAsia="굴림" w:hAnsi="Times New Roman" w:cs="Times New Roman"/>
          <w:kern w:val="0"/>
          <w:sz w:val="22"/>
        </w:rPr>
        <w:t xml:space="preserve"> sacred reality.  </w:t>
      </w:r>
      <w:r w:rsidRPr="00BB7B9A">
        <w:rPr>
          <w:rFonts w:ascii="Times New Roman" w:hAnsi="Times New Roman" w:cs="Times New Roman"/>
          <w:sz w:val="22"/>
        </w:rPr>
        <w:t xml:space="preserve">Seeking to elaborate on Schleiermacher’s formulation of the essence of the religion as ‘the feeling of absolute dependence,’ Otto suggests the holy as an essential element without which there is no religion.  Being defined as the </w:t>
      </w:r>
      <w:r w:rsidRPr="00BB7B9A">
        <w:rPr>
          <w:rFonts w:ascii="Times New Roman" w:hAnsi="Times New Roman" w:cs="Times New Roman"/>
          <w:i/>
          <w:sz w:val="22"/>
        </w:rPr>
        <w:t>mysterium tremendum et fascinans</w:t>
      </w:r>
      <w:r w:rsidRPr="00BB7B9A">
        <w:rPr>
          <w:rFonts w:ascii="Times New Roman" w:hAnsi="Times New Roman" w:cs="Times New Roman"/>
          <w:sz w:val="22"/>
        </w:rPr>
        <w:t xml:space="preserve"> (overwhelming and fascinating mystery), the holy constitutes a category of interpretation and valuation peculiar to the sphere of religion.  By definition, the holy contains a quite specific element or moment which sets it apart from the rational, and thus remains inexpressible or ineffable in the sense that it completely eludes apprehension in terms of concepts (</w:t>
      </w:r>
      <w:r w:rsidRPr="00BB7B9A">
        <w:rPr>
          <w:rFonts w:ascii="Times New Roman" w:hAnsi="Times New Roman" w:cs="Times New Roman" w:hint="eastAsia"/>
          <w:sz w:val="22"/>
        </w:rPr>
        <w:t xml:space="preserve">1923, </w:t>
      </w:r>
      <w:r w:rsidRPr="00BB7B9A">
        <w:rPr>
          <w:rFonts w:ascii="Times New Roman" w:hAnsi="Times New Roman" w:cs="Times New Roman"/>
          <w:sz w:val="22"/>
        </w:rPr>
        <w:t xml:space="preserve">5).  To speak of the holy as mysterious is to focus explicitly on the object of religion which is non-rational or ineffable in the sense of exceeding our conceptual apprehension.  “The truly ‘mysterious’ object is beyond our apprehension and comprehension, not only because our knowledge has certain irremovable limits, but because in it we come upon something inherently ‘wholly other’, whose kind and character are incommensurable with our own, and before which we therefore recoil in a wonder that strikes us chill and numb” (28).  Although it eludes the conceptual way of understanding, he argues that it must be in some way or other within our grasp.  Otherwise absolutely nothing can be asserted of the object of the religious consciousness (2).  According to him, </w:t>
      </w:r>
      <w:r w:rsidRPr="00BB7B9A">
        <w:rPr>
          <w:rFonts w:ascii="Times New Roman" w:hAnsi="Times New Roman" w:cs="Times New Roman"/>
          <w:sz w:val="22"/>
        </w:rPr>
        <w:lastRenderedPageBreak/>
        <w:t xml:space="preserve">the way to say something about the holy is found in the religious man’s own mind.  He then speaks of a unique ‘numinous’ category of value as well as </w:t>
      </w:r>
      <w:r w:rsidRPr="00BB7B9A">
        <w:rPr>
          <w:rFonts w:ascii="Times New Roman" w:hAnsi="Times New Roman" w:cs="Times New Roman" w:hint="eastAsia"/>
          <w:sz w:val="22"/>
        </w:rPr>
        <w:t xml:space="preserve">of </w:t>
      </w:r>
      <w:r w:rsidRPr="00BB7B9A">
        <w:rPr>
          <w:rFonts w:ascii="Times New Roman" w:hAnsi="Times New Roman" w:cs="Times New Roman"/>
          <w:sz w:val="22"/>
        </w:rPr>
        <w:t xml:space="preserve">a definitely ‘numinous’ state of mind, which is always found wherever the category is applied.  For him, this mental state is a perfectly </w:t>
      </w:r>
      <w:r w:rsidRPr="00BB7B9A">
        <w:rPr>
          <w:rFonts w:ascii="Times New Roman" w:hAnsi="Times New Roman" w:cs="Times New Roman"/>
          <w:i/>
          <w:sz w:val="22"/>
        </w:rPr>
        <w:t>sui generis</w:t>
      </w:r>
      <w:r w:rsidRPr="00BB7B9A">
        <w:rPr>
          <w:rFonts w:ascii="Times New Roman" w:hAnsi="Times New Roman" w:cs="Times New Roman"/>
          <w:sz w:val="22"/>
        </w:rPr>
        <w:t>, which is irreducible to any other and the nature of the numinous can only be suggested by means of the special way in which it is reflected in the mind in terms of feeling (7; 12).</w:t>
      </w:r>
      <w:r w:rsidRPr="00BB7B9A">
        <w:rPr>
          <w:rStyle w:val="a7"/>
          <w:rFonts w:ascii="Times New Roman" w:hAnsi="Times New Roman"/>
          <w:sz w:val="22"/>
        </w:rPr>
        <w:footnoteReference w:id="7"/>
      </w:r>
      <w:r w:rsidRPr="00BB7B9A">
        <w:rPr>
          <w:rFonts w:ascii="Times New Roman" w:hAnsi="Times New Roman" w:cs="Times New Roman"/>
          <w:sz w:val="22"/>
        </w:rPr>
        <w:t xml:space="preserve">  Thus, he concludes that “every religion which, so far from being a mere faith in traditional authority, springs from personal assurance and inward convincement (i.e. from an inward first-hand cognition of its truth) – as Christianity does in a unique degree – must presuppose principles in the mind enabling it to be independently recognized as true” (175). </w:t>
      </w:r>
    </w:p>
    <w:p w:rsidR="00E87C3B" w:rsidRPr="00BB7B9A" w:rsidRDefault="00E87C3B" w:rsidP="00BB7B9A">
      <w:pPr>
        <w:wordWrap/>
        <w:spacing w:line="360" w:lineRule="auto"/>
        <w:ind w:firstLine="800"/>
        <w:jc w:val="left"/>
        <w:rPr>
          <w:rFonts w:ascii="Times New Roman" w:hAnsi="Times New Roman" w:cs="Times New Roman"/>
          <w:sz w:val="22"/>
        </w:rPr>
      </w:pPr>
      <w:r w:rsidRPr="00BB7B9A">
        <w:rPr>
          <w:rFonts w:ascii="Times New Roman" w:hAnsi="Times New Roman" w:cs="Times New Roman"/>
          <w:sz w:val="22"/>
        </w:rPr>
        <w:t xml:space="preserve">Another classic phenomenological account of the sacred is Geerardus van der Leeuw’s </w:t>
      </w:r>
      <w:r w:rsidRPr="00BB7B9A">
        <w:rPr>
          <w:rFonts w:ascii="Times New Roman" w:hAnsi="Times New Roman" w:cs="Times New Roman"/>
          <w:i/>
          <w:sz w:val="22"/>
        </w:rPr>
        <w:t>Religion in Essence and Manifestation</w:t>
      </w:r>
      <w:r w:rsidRPr="00BB7B9A">
        <w:rPr>
          <w:rFonts w:ascii="Times New Roman" w:hAnsi="Times New Roman" w:cs="Times New Roman"/>
          <w:sz w:val="22"/>
        </w:rPr>
        <w:t xml:space="preserve"> (1986), in which he </w:t>
      </w:r>
      <w:r w:rsidRPr="00BB7B9A">
        <w:rPr>
          <w:rFonts w:ascii="Times New Roman" w:eastAsia="굴림" w:hAnsi="Times New Roman" w:cs="Times New Roman"/>
          <w:kern w:val="0"/>
          <w:sz w:val="22"/>
        </w:rPr>
        <w:t xml:space="preserve">considered the sacred (holy) as central to religious phenomena and has organized the material in their systematic works around the transcendent object and human subject of sacred activity, together with a consideration of the forms and symbols of the sacred.  Van der Leeuw’s attitude toward the sacred is very similar to Otto’s.  He writes that “when we say that </w:t>
      </w:r>
      <w:r w:rsidRPr="00BB7B9A">
        <w:rPr>
          <w:rFonts w:ascii="Times New Roman" w:eastAsia="굴림" w:hAnsi="Times New Roman" w:cs="Times New Roman"/>
          <w:i/>
          <w:kern w:val="0"/>
          <w:sz w:val="22"/>
        </w:rPr>
        <w:t>God</w:t>
      </w:r>
      <w:r w:rsidRPr="00BB7B9A">
        <w:rPr>
          <w:rFonts w:ascii="Times New Roman" w:eastAsia="굴림" w:hAnsi="Times New Roman" w:cs="Times New Roman"/>
          <w:kern w:val="0"/>
          <w:sz w:val="22"/>
        </w:rPr>
        <w:t xml:space="preserve"> is the Object of religious experience, we must realize that ‘God’ is frequently an extremely indefinite concept which does not completely coincide with what we ourselves usually understand by it” (23).  Thus, however frequently one encounters God, one cannot come closer to Him who always remains a ‘highly exceptional and extremely impressive ‘</w:t>
      </w:r>
      <w:r w:rsidRPr="00BB7B9A">
        <w:rPr>
          <w:rFonts w:ascii="Times New Roman" w:eastAsia="굴림" w:hAnsi="Times New Roman" w:cs="Times New Roman"/>
          <w:i/>
          <w:kern w:val="0"/>
          <w:sz w:val="22"/>
        </w:rPr>
        <w:t>Other</w:t>
      </w:r>
      <w:r w:rsidRPr="00BB7B9A">
        <w:rPr>
          <w:rFonts w:ascii="Times New Roman" w:eastAsia="굴림" w:hAnsi="Times New Roman" w:cs="Times New Roman"/>
          <w:kern w:val="0"/>
          <w:sz w:val="22"/>
        </w:rPr>
        <w:t xml:space="preserve">’.  By the notion of the ‘Other,’ the supernatural element in the conception of God is interpreted as something foreign and highly unusual, and at the same time the consciousness of absolute dependence by an indefinite and generalized feeling of remoteness.  We can speak of God in a merely figurative sense for its remoteness, but we can find a possibility to express God in the fact that there arises and persists an experience which connects or unites itself to a </w:t>
      </w:r>
      <w:r w:rsidRPr="00BB7B9A">
        <w:rPr>
          <w:rFonts w:ascii="Times New Roman" w:eastAsia="굴림" w:hAnsi="Times New Roman" w:cs="Times New Roman"/>
          <w:i/>
          <w:kern w:val="0"/>
          <w:sz w:val="22"/>
        </w:rPr>
        <w:t>strange</w:t>
      </w:r>
      <w:r w:rsidRPr="00BB7B9A">
        <w:rPr>
          <w:rFonts w:ascii="Times New Roman" w:eastAsia="굴림" w:hAnsi="Times New Roman" w:cs="Times New Roman"/>
          <w:kern w:val="0"/>
          <w:sz w:val="22"/>
        </w:rPr>
        <w:t>, ‘</w:t>
      </w:r>
      <w:r w:rsidRPr="00BB7B9A">
        <w:rPr>
          <w:rFonts w:ascii="Times New Roman" w:eastAsia="굴림" w:hAnsi="Times New Roman" w:cs="Times New Roman"/>
          <w:i/>
          <w:kern w:val="0"/>
          <w:sz w:val="22"/>
        </w:rPr>
        <w:t>Wholly Other</w:t>
      </w:r>
      <w:r w:rsidRPr="00BB7B9A">
        <w:rPr>
          <w:rFonts w:ascii="Times New Roman" w:eastAsia="굴림" w:hAnsi="Times New Roman" w:cs="Times New Roman"/>
          <w:kern w:val="0"/>
          <w:sz w:val="22"/>
        </w:rPr>
        <w:t xml:space="preserve">’ that thus obtrudes into life (23; 681).  </w:t>
      </w:r>
      <w:r w:rsidRPr="00BB7B9A">
        <w:rPr>
          <w:rFonts w:ascii="Times New Roman" w:eastAsia="굴림" w:hAnsi="Times New Roman" w:cs="Times New Roman" w:hint="eastAsia"/>
          <w:kern w:val="0"/>
          <w:sz w:val="22"/>
        </w:rPr>
        <w:t>Thus, r</w:t>
      </w:r>
      <w:r w:rsidRPr="00BB7B9A">
        <w:rPr>
          <w:rFonts w:ascii="Times New Roman" w:eastAsia="굴림" w:hAnsi="Times New Roman" w:cs="Times New Roman"/>
          <w:kern w:val="0"/>
          <w:sz w:val="22"/>
        </w:rPr>
        <w:t>ather than the supernatural or the transcendent</w:t>
      </w:r>
      <w:r w:rsidRPr="00BB7B9A">
        <w:rPr>
          <w:rFonts w:ascii="Times New Roman" w:eastAsia="굴림" w:hAnsi="Times New Roman" w:cs="Times New Roman" w:hint="eastAsia"/>
          <w:kern w:val="0"/>
          <w:sz w:val="22"/>
        </w:rPr>
        <w:t xml:space="preserve">, </w:t>
      </w:r>
      <w:r w:rsidRPr="00BB7B9A">
        <w:rPr>
          <w:rFonts w:ascii="Times New Roman" w:eastAsia="굴림" w:hAnsi="Times New Roman" w:cs="Times New Roman"/>
          <w:kern w:val="0"/>
          <w:sz w:val="22"/>
        </w:rPr>
        <w:t xml:space="preserve"> V</w:t>
      </w:r>
      <w:r w:rsidRPr="00BB7B9A">
        <w:rPr>
          <w:rFonts w:ascii="Times New Roman" w:hAnsi="Times New Roman" w:cs="Times New Roman"/>
          <w:sz w:val="22"/>
        </w:rPr>
        <w:t xml:space="preserve">an der Leeuw expresses his interest in the emotional experience such as amazement, fear, and especially awe that accompany the encounters with the sacred as Otto did.  Distinct from Otto’s account of the holy, however, van der Leeuw shows his greater interest in the interrelationships between subjective and objective dimensions within human experience of the ‘other’.  Van deer Leeuw allegedly denies the possibility of separating the inner from the outer, saying that “everything external is closely connected with something internal; and conversely, without the outer there is no inner, or if there were it would not appear” (459).  </w:t>
      </w:r>
    </w:p>
    <w:p w:rsidR="00E87C3B" w:rsidRPr="00BB7B9A" w:rsidRDefault="00E87C3B" w:rsidP="00BB7B9A">
      <w:pPr>
        <w:wordWrap/>
        <w:spacing w:line="360" w:lineRule="auto"/>
        <w:ind w:leftChars="400" w:left="800" w:rightChars="400" w:right="800"/>
        <w:jc w:val="left"/>
        <w:rPr>
          <w:rFonts w:ascii="Times New Roman" w:hAnsi="Times New Roman" w:cs="Times New Roman"/>
          <w:sz w:val="22"/>
        </w:rPr>
      </w:pPr>
    </w:p>
    <w:p w:rsidR="00E87C3B" w:rsidRPr="00BB7B9A" w:rsidRDefault="00E87C3B" w:rsidP="00D1586E">
      <w:pPr>
        <w:wordWrap/>
        <w:ind w:leftChars="400" w:left="800" w:rightChars="400" w:right="800"/>
        <w:jc w:val="left"/>
        <w:rPr>
          <w:rFonts w:ascii="Times New Roman" w:hAnsi="Times New Roman" w:cs="Times New Roman"/>
          <w:sz w:val="22"/>
        </w:rPr>
      </w:pPr>
      <w:r w:rsidRPr="00BB7B9A">
        <w:rPr>
          <w:rFonts w:ascii="Times New Roman" w:hAnsi="Times New Roman" w:cs="Times New Roman"/>
          <w:sz w:val="22"/>
        </w:rPr>
        <w:t xml:space="preserve">Feeling, again, does not exist without speech and gesture; thought is not present without form and action; even mysticism requires words. </w:t>
      </w:r>
    </w:p>
    <w:p w:rsidR="00E87C3B" w:rsidRPr="00BB7B9A" w:rsidRDefault="00E87C3B" w:rsidP="00BB7B9A">
      <w:pPr>
        <w:wordWrap/>
        <w:spacing w:line="360" w:lineRule="auto"/>
        <w:ind w:firstLine="800"/>
        <w:jc w:val="left"/>
        <w:rPr>
          <w:rFonts w:ascii="Times New Roman" w:hAnsi="Times New Roman" w:cs="Times New Roman"/>
          <w:sz w:val="22"/>
        </w:rPr>
      </w:pPr>
    </w:p>
    <w:p w:rsidR="00E87C3B" w:rsidRPr="00BB7B9A" w:rsidRDefault="00E87C3B" w:rsidP="00D1586E">
      <w:pPr>
        <w:wordWrap/>
        <w:ind w:leftChars="400" w:left="800" w:rightChars="400" w:right="800"/>
        <w:jc w:val="left"/>
        <w:rPr>
          <w:rFonts w:ascii="Times New Roman" w:hAnsi="Times New Roman" w:cs="Times New Roman"/>
          <w:sz w:val="22"/>
        </w:rPr>
      </w:pPr>
      <w:r w:rsidRPr="00BB7B9A">
        <w:rPr>
          <w:rFonts w:ascii="Times New Roman" w:hAnsi="Times New Roman" w:cs="Times New Roman"/>
          <w:sz w:val="22"/>
        </w:rPr>
        <w:lastRenderedPageBreak/>
        <w:t xml:space="preserve">…in a certain sense everything in religion is “personal”, in so far as it can never be manifested outside the actual given situation, the existential determinateness, of humanity; but also that nothing is ever “purely” personal, since nothing whatever could be manifested were it not at some time understood by others besides any one individual (459).  </w:t>
      </w:r>
    </w:p>
    <w:p w:rsidR="00E87C3B" w:rsidRPr="00BB7B9A" w:rsidRDefault="00E87C3B" w:rsidP="00BB7B9A">
      <w:pPr>
        <w:wordWrap/>
        <w:spacing w:line="360" w:lineRule="auto"/>
        <w:ind w:firstLine="800"/>
        <w:jc w:val="left"/>
        <w:rPr>
          <w:rFonts w:ascii="Times New Roman" w:hAnsi="Times New Roman" w:cs="Times New Roman"/>
          <w:sz w:val="22"/>
        </w:rPr>
      </w:pP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eastAsia="굴림" w:hAnsi="Times New Roman" w:cs="Times New Roman"/>
          <w:kern w:val="0"/>
          <w:sz w:val="22"/>
        </w:rPr>
        <w:t xml:space="preserve">Van der Leeuw’s concept of </w:t>
      </w:r>
      <w:r w:rsidRPr="00BB7B9A">
        <w:rPr>
          <w:rFonts w:ascii="Times New Roman" w:hAnsi="Times New Roman" w:cs="Times New Roman"/>
          <w:sz w:val="22"/>
        </w:rPr>
        <w:t>‘</w:t>
      </w:r>
      <w:r w:rsidRPr="00BB7B9A">
        <w:rPr>
          <w:rFonts w:ascii="Times New Roman" w:hAnsi="Times New Roman" w:cs="Times New Roman"/>
          <w:i/>
          <w:sz w:val="22"/>
        </w:rPr>
        <w:t>power</w:t>
      </w:r>
      <w:r w:rsidRPr="00BB7B9A">
        <w:rPr>
          <w:rFonts w:ascii="Times New Roman" w:hAnsi="Times New Roman" w:cs="Times New Roman"/>
          <w:sz w:val="22"/>
        </w:rPr>
        <w:t xml:space="preserve">,’ as the central concept of religion, refers to the visible side, the tangible aspect, of human experience of the ‘Other’ (Capps 1995, 129).  “Power is thought of only when it manifests itself in some very striking way; with what confers efficiency on objects and persons in ordinary circumstances, on the other hand, man does not concern himself” (28).  In this sense, it can be said that van der Leeuw’s phenomenological account of religion is not purely subjective.  However, he certainly gives the primary importance to subjective experience, “for every dogma, every act of worship, can only become understood primarily as the reflection of some experience; every act, every idea, is the expression of a need or a release, of pain or bliss” (ibid).  For him, a phenomenon is always related to experience, otherwise it would not appear to us meaningfully (461).  </w:t>
      </w:r>
    </w:p>
    <w:p w:rsidR="00E87C3B" w:rsidRPr="00BB7B9A" w:rsidRDefault="00E87C3B" w:rsidP="00BB7B9A">
      <w:pPr>
        <w:wordWrap/>
        <w:spacing w:line="360" w:lineRule="auto"/>
        <w:ind w:firstLine="800"/>
        <w:jc w:val="left"/>
        <w:rPr>
          <w:rFonts w:ascii="Times New Roman" w:hAnsi="Times New Roman" w:cs="Times New Roman"/>
          <w:sz w:val="22"/>
        </w:rPr>
      </w:pPr>
      <w:r w:rsidRPr="00BB7B9A">
        <w:rPr>
          <w:rFonts w:ascii="Times New Roman" w:hAnsi="Times New Roman" w:cs="Times New Roman"/>
          <w:sz w:val="22"/>
        </w:rPr>
        <w:t>It is in</w:t>
      </w:r>
      <w:r w:rsidRPr="00BB7B9A">
        <w:rPr>
          <w:rFonts w:ascii="Times New Roman" w:hAnsi="Times New Roman" w:cs="Times New Roman" w:hint="eastAsia"/>
          <w:sz w:val="22"/>
        </w:rPr>
        <w:t xml:space="preserve"> </w:t>
      </w:r>
      <w:r w:rsidRPr="00BB7B9A">
        <w:rPr>
          <w:rFonts w:ascii="Times New Roman" w:hAnsi="Times New Roman" w:cs="Times New Roman"/>
          <w:sz w:val="22"/>
        </w:rPr>
        <w:t xml:space="preserve">Peter Berger’s contribution that phenomenological attitude toward the sacred has become the dominant stance within the contemporary sociology of religion.  In Berger’s sociology, the concept of the sacred occupies the crucial locus in explaining the distinctive role of religion for the construction of social reality.  For him, the establishment of a sacred cosmos is a key element to explain the social enterprise of ordering world-construction.  In an effort to show that ‘reality’ is socially constructed through the filters of symbols, Berger maintains that religion is an essential part of the mundane world we live in by providing social members with the sacred cosmos.  Berger’s approach to religion begins with the individual and stresses the individual subjective requirement for meaning.  In particular, he emphasizes the importance of the subjective response of the social actor to the threat of death and chaos for the construction of a religious world-view, a sacred cosmos.  </w:t>
      </w:r>
    </w:p>
    <w:p w:rsidR="00E87C3B" w:rsidRPr="00EB4BD5" w:rsidRDefault="00E87C3B" w:rsidP="00BB7B9A">
      <w:pPr>
        <w:wordWrap/>
        <w:spacing w:line="360" w:lineRule="auto"/>
        <w:ind w:leftChars="400" w:left="800" w:rightChars="400" w:right="800"/>
        <w:jc w:val="left"/>
        <w:rPr>
          <w:rFonts w:ascii="Times New Roman" w:hAnsi="Times New Roman" w:cs="Times New Roman"/>
          <w:sz w:val="22"/>
        </w:rPr>
      </w:pPr>
    </w:p>
    <w:p w:rsidR="00E87C3B" w:rsidRPr="00BB7B9A" w:rsidRDefault="00E87C3B" w:rsidP="00D1586E">
      <w:pPr>
        <w:wordWrap/>
        <w:ind w:leftChars="400" w:left="800" w:rightChars="400" w:right="800"/>
        <w:jc w:val="left"/>
        <w:rPr>
          <w:rFonts w:ascii="Times New Roman" w:hAnsi="Times New Roman" w:cs="Times New Roman"/>
          <w:sz w:val="22"/>
        </w:rPr>
      </w:pPr>
      <w:r w:rsidRPr="00BB7B9A">
        <w:rPr>
          <w:rFonts w:ascii="Times New Roman" w:hAnsi="Times New Roman" w:cs="Times New Roman"/>
          <w:sz w:val="22"/>
        </w:rPr>
        <w:t xml:space="preserve">Religion is the human enterprise by which a sacred cosmos is established.  Put differently, religion is cosmization in a sacred mode.  By sacred is meant here a quality of mysterious and awesome power, other than and yet related to him, which is believed to reside in certain objects of experience” (Berger 1967, 25). </w:t>
      </w:r>
    </w:p>
    <w:p w:rsidR="00E87C3B" w:rsidRPr="00BB7B9A" w:rsidRDefault="00E87C3B" w:rsidP="00BB7B9A">
      <w:pPr>
        <w:wordWrap/>
        <w:spacing w:line="360" w:lineRule="auto"/>
        <w:ind w:firstLine="800"/>
        <w:jc w:val="left"/>
        <w:rPr>
          <w:rFonts w:ascii="Times New Roman" w:hAnsi="Times New Roman" w:cs="Times New Roman"/>
          <w:sz w:val="22"/>
        </w:rPr>
      </w:pP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From his definition of the sacred as a quality of mysterious and awesome power which is believed to reside in certain objects of experience, we can clearly read Berger’s phenomenological orientation in understanding the sacred which addresses it to the mode of experience.  For him, the sacred is “apprehended as ‘sticking out’ from the normal routines of everyday life, as something extraordinary and potentially dangerous, though its dangers can be domesticated and its potency harnessed to the needs of everyday life” (</w:t>
      </w:r>
      <w:r w:rsidRPr="00BB7B9A">
        <w:rPr>
          <w:rFonts w:ascii="Times New Roman" w:hAnsi="Times New Roman" w:cs="Times New Roman" w:hint="eastAsia"/>
          <w:sz w:val="22"/>
        </w:rPr>
        <w:t>1967</w:t>
      </w:r>
      <w:r w:rsidRPr="00BB7B9A">
        <w:rPr>
          <w:rFonts w:ascii="Times New Roman" w:hAnsi="Times New Roman" w:cs="Times New Roman"/>
          <w:sz w:val="22"/>
        </w:rPr>
        <w:t xml:space="preserve">, 26).  Like Otto and van der Leeuw, Berger stresses the otherness of the sacred, as encountered in ‘religious experience,’ i.e., the manifestation of the sacred as something </w:t>
      </w:r>
      <w:r w:rsidRPr="00BB7B9A">
        <w:rPr>
          <w:rFonts w:ascii="Times New Roman" w:hAnsi="Times New Roman" w:cs="Times New Roman"/>
          <w:i/>
          <w:sz w:val="22"/>
        </w:rPr>
        <w:t>totaliter aliter</w:t>
      </w:r>
      <w:r w:rsidRPr="00BB7B9A">
        <w:rPr>
          <w:rFonts w:ascii="Times New Roman" w:hAnsi="Times New Roman" w:cs="Times New Roman"/>
          <w:sz w:val="22"/>
        </w:rPr>
        <w:t xml:space="preserve"> as compared to ordinary, profane human life (</w:t>
      </w:r>
      <w:r w:rsidRPr="00BB7B9A">
        <w:rPr>
          <w:rFonts w:ascii="Times New Roman" w:hAnsi="Times New Roman" w:cs="Times New Roman" w:hint="eastAsia"/>
          <w:sz w:val="22"/>
        </w:rPr>
        <w:t>1967</w:t>
      </w:r>
      <w:r w:rsidRPr="00BB7B9A">
        <w:rPr>
          <w:rFonts w:ascii="Times New Roman" w:hAnsi="Times New Roman" w:cs="Times New Roman"/>
          <w:sz w:val="22"/>
        </w:rPr>
        <w:t xml:space="preserve">, 87).  Rather than attributing the </w:t>
      </w:r>
      <w:r w:rsidRPr="00BB7B9A">
        <w:rPr>
          <w:rFonts w:ascii="Times New Roman" w:hAnsi="Times New Roman" w:cs="Times New Roman"/>
          <w:sz w:val="22"/>
        </w:rPr>
        <w:lastRenderedPageBreak/>
        <w:t xml:space="preserve">ontological status to the sacred or </w:t>
      </w:r>
      <w:r w:rsidRPr="00BB7B9A">
        <w:rPr>
          <w:rFonts w:ascii="Times New Roman" w:hAnsi="Times New Roman" w:cs="Times New Roman" w:hint="eastAsia"/>
          <w:sz w:val="22"/>
        </w:rPr>
        <w:t>making</w:t>
      </w:r>
      <w:r w:rsidRPr="00BB7B9A">
        <w:rPr>
          <w:rFonts w:ascii="Times New Roman" w:hAnsi="Times New Roman" w:cs="Times New Roman"/>
          <w:sz w:val="22"/>
        </w:rPr>
        <w:t xml:space="preserve"> a metaphysical claim on it, he approaches the sacred as a mode of human experience.  For him, the sacred is a phenomenon within the reality of the supernatural, but the encounter with the sacred occurs in particular instances of the experience of the supernatural.  “The awe and fascination of the totally other remains, even there, a leitmotif of the encounter with the sacred” (</w:t>
      </w:r>
      <w:r w:rsidRPr="00BB7B9A">
        <w:rPr>
          <w:rFonts w:ascii="Times New Roman" w:hAnsi="Times New Roman" w:cs="Times New Roman" w:hint="eastAsia"/>
          <w:sz w:val="22"/>
        </w:rPr>
        <w:t>1967</w:t>
      </w:r>
      <w:r w:rsidRPr="00BB7B9A">
        <w:rPr>
          <w:rFonts w:ascii="Times New Roman" w:hAnsi="Times New Roman" w:cs="Times New Roman"/>
          <w:sz w:val="22"/>
        </w:rPr>
        <w:t xml:space="preserve">, 88).  As a sociologist, he is not so naïve to contend that the encounter with the sacred remains a purely subjective state.  He wants to understand sacred experience as a phenomenon amenable to description and, therefore, to generally intelligible conceptualization (Berger and Kellner 1978, 37).  Thus he stresses the process of the reality construction through symbolizations of the sacred.  The fact that the sacred can exist in mundane reality beyond ‘here and now’ subjective intentions means that individual experiences are preserved and fixed in symbols, which acquire objective status existing independent of </w:t>
      </w:r>
      <w:r w:rsidRPr="00BB7B9A">
        <w:rPr>
          <w:rFonts w:ascii="Times New Roman" w:hAnsi="Times New Roman" w:cs="Times New Roman" w:hint="eastAsia"/>
          <w:sz w:val="22"/>
        </w:rPr>
        <w:t>their</w:t>
      </w:r>
      <w:r w:rsidRPr="00BB7B9A">
        <w:rPr>
          <w:rFonts w:ascii="Times New Roman" w:hAnsi="Times New Roman" w:cs="Times New Roman"/>
          <w:sz w:val="22"/>
        </w:rPr>
        <w:t xml:space="preserve"> creators and their individual needs.  In this way, the sacred becomes a kind of reality objectively available both to its creators and to other </w:t>
      </w:r>
      <w:r w:rsidRPr="00BB7B9A">
        <w:rPr>
          <w:rFonts w:ascii="Times New Roman" w:hAnsi="Times New Roman" w:cs="Times New Roman" w:hint="eastAsia"/>
          <w:sz w:val="22"/>
        </w:rPr>
        <w:t>people</w:t>
      </w:r>
      <w:r w:rsidRPr="00BB7B9A">
        <w:rPr>
          <w:rFonts w:ascii="Times New Roman" w:hAnsi="Times New Roman" w:cs="Times New Roman"/>
          <w:sz w:val="22"/>
        </w:rPr>
        <w:t xml:space="preserve">.  </w:t>
      </w:r>
    </w:p>
    <w:p w:rsidR="00E87C3B" w:rsidRPr="00BB7B9A" w:rsidRDefault="00E87C3B" w:rsidP="00BB7B9A">
      <w:pPr>
        <w:wordWrap/>
        <w:spacing w:line="360" w:lineRule="auto"/>
        <w:ind w:firstLine="800"/>
        <w:jc w:val="left"/>
        <w:rPr>
          <w:rFonts w:ascii="Times New Roman" w:hAnsi="Times New Roman" w:cs="Times New Roman"/>
          <w:sz w:val="22"/>
        </w:rPr>
      </w:pPr>
      <w:r w:rsidRPr="00BB7B9A">
        <w:rPr>
          <w:rFonts w:ascii="Times New Roman" w:hAnsi="Times New Roman" w:cs="Times New Roman"/>
          <w:sz w:val="22"/>
        </w:rPr>
        <w:t>Berger, above all, pays attention to the ordering function of the sacred.  Through the filters of symbolic categories, complex and even chaotic worlds are reduced to a ‘reality’ that has order and meaning.  Thus</w:t>
      </w:r>
      <w:r w:rsidRPr="00BB7B9A">
        <w:rPr>
          <w:rFonts w:ascii="Times New Roman" w:hAnsi="Times New Roman" w:cs="Times New Roman" w:hint="eastAsia"/>
          <w:sz w:val="22"/>
        </w:rPr>
        <w:t xml:space="preserve"> the</w:t>
      </w:r>
      <w:r w:rsidRPr="00BB7B9A">
        <w:rPr>
          <w:rFonts w:ascii="Times New Roman" w:hAnsi="Times New Roman" w:cs="Times New Roman"/>
          <w:sz w:val="22"/>
        </w:rPr>
        <w:t xml:space="preserve"> created world is a sacred cosmos conceived of as being significant and meaningful.  The cosmos posited by the sacred is a product of human beings, but also exist</w:t>
      </w:r>
      <w:r w:rsidRPr="00BB7B9A">
        <w:rPr>
          <w:rFonts w:ascii="Times New Roman" w:hAnsi="Times New Roman" w:cs="Times New Roman" w:hint="eastAsia"/>
          <w:sz w:val="22"/>
        </w:rPr>
        <w:t>s</w:t>
      </w:r>
      <w:r w:rsidRPr="00BB7B9A">
        <w:rPr>
          <w:rFonts w:ascii="Times New Roman" w:hAnsi="Times New Roman" w:cs="Times New Roman"/>
          <w:sz w:val="22"/>
        </w:rPr>
        <w:t xml:space="preserve"> as an objective reality which both transcends and includes them.  Human beings confront the sacred cosmos as an immensely powerful reality other than themselves (</w:t>
      </w:r>
      <w:r w:rsidRPr="00BB7B9A">
        <w:rPr>
          <w:rFonts w:ascii="Times New Roman" w:hAnsi="Times New Roman" w:cs="Times New Roman" w:hint="eastAsia"/>
          <w:sz w:val="22"/>
        </w:rPr>
        <w:t xml:space="preserve">Berger </w:t>
      </w:r>
      <w:r w:rsidRPr="00BB7B9A">
        <w:rPr>
          <w:rFonts w:ascii="Times New Roman" w:hAnsi="Times New Roman" w:cs="Times New Roman"/>
          <w:sz w:val="22"/>
        </w:rPr>
        <w:t xml:space="preserve">1967, 26).  Once a sacred cosmos is created, a meaningful order is imposed on discrete </w:t>
      </w:r>
      <w:r w:rsidRPr="00BB7B9A">
        <w:rPr>
          <w:rFonts w:ascii="Times New Roman" w:hAnsi="Times New Roman" w:cs="Times New Roman" w:hint="eastAsia"/>
          <w:sz w:val="22"/>
        </w:rPr>
        <w:t>mean</w:t>
      </w:r>
      <w:r w:rsidRPr="00BB7B9A">
        <w:rPr>
          <w:rFonts w:ascii="Times New Roman" w:hAnsi="Times New Roman" w:cs="Times New Roman"/>
          <w:sz w:val="22"/>
        </w:rPr>
        <w:t xml:space="preserve">ings of individuals.  Isolated experiences and meanings belonging to different spheres of reality are integrated into the overarching universe of meaning.  Berger calls this ordering as ‘nomization,’ which he describes as </w:t>
      </w:r>
      <w:r w:rsidRPr="00BB7B9A">
        <w:rPr>
          <w:rFonts w:ascii="Times New Roman" w:hAnsi="Times New Roman" w:cs="Times New Roman" w:hint="eastAsia"/>
          <w:sz w:val="22"/>
        </w:rPr>
        <w:t xml:space="preserve">something that </w:t>
      </w:r>
      <w:r w:rsidRPr="00BB7B9A">
        <w:rPr>
          <w:rFonts w:ascii="Times New Roman" w:hAnsi="Times New Roman" w:cs="Times New Roman"/>
          <w:sz w:val="22"/>
        </w:rPr>
        <w:t>“puts everything in its right place” (</w:t>
      </w:r>
      <w:r w:rsidRPr="00BB7B9A">
        <w:rPr>
          <w:rFonts w:ascii="Times New Roman" w:hAnsi="Times New Roman" w:cs="Times New Roman" w:hint="eastAsia"/>
          <w:sz w:val="22"/>
        </w:rPr>
        <w:t xml:space="preserve">Berger and Luckmann </w:t>
      </w:r>
      <w:r w:rsidRPr="00BB7B9A">
        <w:rPr>
          <w:rFonts w:ascii="Times New Roman" w:hAnsi="Times New Roman" w:cs="Times New Roman"/>
          <w:sz w:val="22"/>
        </w:rPr>
        <w:t xml:space="preserve">1966, 98).  </w:t>
      </w:r>
    </w:p>
    <w:p w:rsidR="00E87C3B" w:rsidRPr="00BB7B9A" w:rsidRDefault="00E87C3B" w:rsidP="00BB7B9A">
      <w:pPr>
        <w:wordWrap/>
        <w:spacing w:line="360" w:lineRule="auto"/>
        <w:ind w:firstLine="800"/>
        <w:jc w:val="left"/>
        <w:rPr>
          <w:rFonts w:ascii="Times New Roman" w:hAnsi="Times New Roman" w:cs="Times New Roman"/>
          <w:sz w:val="22"/>
        </w:rPr>
      </w:pPr>
      <w:r w:rsidRPr="00BB7B9A">
        <w:rPr>
          <w:rFonts w:ascii="Times New Roman" w:hAnsi="Times New Roman" w:cs="Times New Roman"/>
          <w:sz w:val="22"/>
        </w:rPr>
        <w:t>Berger’s thesis of ‘social construction of reality’ means that the world we live in is essentially a world</w:t>
      </w:r>
      <w:r w:rsidRPr="00BB7B9A">
        <w:rPr>
          <w:rStyle w:val="a7"/>
          <w:rFonts w:ascii="Times New Roman" w:hAnsi="Times New Roman"/>
          <w:sz w:val="22"/>
        </w:rPr>
        <w:footnoteReference w:id="8"/>
      </w:r>
      <w:r w:rsidRPr="00BB7B9A">
        <w:rPr>
          <w:rFonts w:ascii="Times New Roman" w:hAnsi="Times New Roman" w:cs="Times New Roman"/>
          <w:sz w:val="22"/>
        </w:rPr>
        <w:t xml:space="preserve"> constructed by human design, that is, the ‘intentional’ work of human beings.</w:t>
      </w:r>
      <w:r w:rsidRPr="00BB7B9A">
        <w:rPr>
          <w:rStyle w:val="a7"/>
          <w:rFonts w:ascii="Times New Roman" w:hAnsi="Times New Roman"/>
          <w:sz w:val="22"/>
        </w:rPr>
        <w:footnoteReference w:id="9"/>
      </w:r>
      <w:r w:rsidRPr="00BB7B9A">
        <w:rPr>
          <w:rFonts w:ascii="Times New Roman" w:hAnsi="Times New Roman" w:cs="Times New Roman"/>
          <w:sz w:val="22"/>
        </w:rPr>
        <w:t xml:space="preserve">  To put it differently, the existence of reality “has its base in the lives of concrete individuals, and has no empirical status apart from these lives” (Berger and Luckmann 1966, 128).  With the emphasis on ‘human activity in social construction of reality’ as a starting point, Berger unfolds his theory of</w:t>
      </w:r>
      <w:r w:rsidRPr="00BB7B9A">
        <w:rPr>
          <w:rFonts w:ascii="Times New Roman" w:hAnsi="Times New Roman" w:cs="Times New Roman" w:hint="eastAsia"/>
          <w:sz w:val="22"/>
        </w:rPr>
        <w:t xml:space="preserve"> the</w:t>
      </w:r>
      <w:r w:rsidRPr="00BB7B9A">
        <w:rPr>
          <w:rFonts w:ascii="Times New Roman" w:hAnsi="Times New Roman" w:cs="Times New Roman"/>
          <w:sz w:val="22"/>
        </w:rPr>
        <w:t xml:space="preserve"> dialectical process of society.  For him, society is a product of human being</w:t>
      </w:r>
      <w:r w:rsidRPr="00BB7B9A">
        <w:rPr>
          <w:rFonts w:ascii="Times New Roman" w:hAnsi="Times New Roman" w:cs="Times New Roman" w:hint="eastAsia"/>
          <w:sz w:val="22"/>
        </w:rPr>
        <w:t>s</w:t>
      </w:r>
      <w:r w:rsidRPr="00BB7B9A">
        <w:rPr>
          <w:rFonts w:ascii="Times New Roman" w:hAnsi="Times New Roman" w:cs="Times New Roman"/>
          <w:sz w:val="22"/>
        </w:rPr>
        <w:t>, and yet at the same time, human being</w:t>
      </w:r>
      <w:r w:rsidRPr="00BB7B9A">
        <w:rPr>
          <w:rFonts w:ascii="Times New Roman" w:hAnsi="Times New Roman" w:cs="Times New Roman" w:hint="eastAsia"/>
          <w:sz w:val="22"/>
        </w:rPr>
        <w:t>s</w:t>
      </w:r>
      <w:r w:rsidRPr="00BB7B9A">
        <w:rPr>
          <w:rFonts w:ascii="Times New Roman" w:hAnsi="Times New Roman" w:cs="Times New Roman"/>
          <w:sz w:val="22"/>
        </w:rPr>
        <w:t xml:space="preserve"> </w:t>
      </w:r>
      <w:r w:rsidRPr="00BB7B9A">
        <w:rPr>
          <w:rFonts w:ascii="Times New Roman" w:hAnsi="Times New Roman" w:cs="Times New Roman" w:hint="eastAsia"/>
          <w:sz w:val="22"/>
        </w:rPr>
        <w:t>are</w:t>
      </w:r>
      <w:r w:rsidRPr="00BB7B9A">
        <w:rPr>
          <w:rFonts w:ascii="Times New Roman" w:hAnsi="Times New Roman" w:cs="Times New Roman"/>
          <w:sz w:val="22"/>
        </w:rPr>
        <w:t xml:space="preserve"> a product of society because society continuously acts back upon its producer.  Two seemingly contradictory statements, – that society is a human product and that </w:t>
      </w:r>
      <w:r w:rsidRPr="00BB7B9A">
        <w:rPr>
          <w:rFonts w:ascii="Times New Roman" w:hAnsi="Times New Roman" w:cs="Times New Roman" w:hint="eastAsia"/>
          <w:sz w:val="22"/>
        </w:rPr>
        <w:t xml:space="preserve">a </w:t>
      </w:r>
      <w:r w:rsidRPr="00BB7B9A">
        <w:rPr>
          <w:rFonts w:ascii="Times New Roman" w:hAnsi="Times New Roman" w:cs="Times New Roman"/>
          <w:sz w:val="22"/>
        </w:rPr>
        <w:t xml:space="preserve">human being is </w:t>
      </w:r>
      <w:r w:rsidRPr="00BB7B9A">
        <w:rPr>
          <w:rFonts w:ascii="Times New Roman" w:hAnsi="Times New Roman" w:cs="Times New Roman"/>
          <w:sz w:val="22"/>
        </w:rPr>
        <w:lastRenderedPageBreak/>
        <w:t xml:space="preserve">a social product, – are harmonized in his dialectical process of social construction which consists of three moments: externalization, objectivation, and internalization.  </w:t>
      </w:r>
      <w:r w:rsidRPr="00BB7B9A">
        <w:rPr>
          <w:rFonts w:ascii="Times New Roman" w:eastAsia="바탕" w:hAnsi="Times New Roman" w:cs="Times New Roman"/>
          <w:sz w:val="22"/>
        </w:rPr>
        <w:t xml:space="preserve">Although all culture originates and is rooted in the subjective consciousness of human beings, once formed it stands outside the subjectivity of the individual as an objective reality. </w:t>
      </w: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ab/>
        <w:t xml:space="preserve">In order to link these three dialectical moments, however, Berger has to presuppose the existence of </w:t>
      </w:r>
      <w:r w:rsidRPr="00BB7B9A">
        <w:rPr>
          <w:rFonts w:ascii="Times New Roman" w:hAnsi="Times New Roman" w:cs="Times New Roman" w:hint="eastAsia"/>
          <w:sz w:val="22"/>
        </w:rPr>
        <w:t xml:space="preserve">the </w:t>
      </w:r>
      <w:r w:rsidRPr="00BB7B9A">
        <w:rPr>
          <w:rFonts w:ascii="Times New Roman" w:hAnsi="Times New Roman" w:cs="Times New Roman"/>
          <w:sz w:val="22"/>
        </w:rPr>
        <w:t xml:space="preserve">mysterious or sacred reality behind or hidden from the external world, the process of </w:t>
      </w:r>
      <w:r w:rsidRPr="00BB7B9A">
        <w:rPr>
          <w:rFonts w:ascii="Times New Roman" w:hAnsi="Times New Roman" w:cs="Times New Roman"/>
          <w:i/>
          <w:sz w:val="22"/>
        </w:rPr>
        <w:t>introjections</w:t>
      </w:r>
      <w:r w:rsidRPr="00BB7B9A">
        <w:rPr>
          <w:rFonts w:ascii="Times New Roman" w:hAnsi="Times New Roman" w:cs="Times New Roman"/>
          <w:sz w:val="22"/>
        </w:rPr>
        <w:t xml:space="preserve"> of the sacred reality into consciousness, and the process of </w:t>
      </w:r>
      <w:r w:rsidRPr="00BB7B9A">
        <w:rPr>
          <w:rFonts w:ascii="Times New Roman" w:hAnsi="Times New Roman" w:cs="Times New Roman"/>
          <w:i/>
          <w:sz w:val="22"/>
        </w:rPr>
        <w:t>projection</w:t>
      </w:r>
      <w:r w:rsidRPr="00BB7B9A">
        <w:rPr>
          <w:rFonts w:ascii="Times New Roman" w:hAnsi="Times New Roman" w:cs="Times New Roman"/>
          <w:sz w:val="22"/>
        </w:rPr>
        <w:t xml:space="preserve"> of consciousness into the external world.  Let us take a look at his succinct remark about the dialectical process of social construction</w:t>
      </w:r>
      <w:r w:rsidRPr="00BB7B9A">
        <w:rPr>
          <w:rFonts w:ascii="Times New Roman" w:hAnsi="Times New Roman" w:cs="Times New Roman" w:hint="eastAsia"/>
          <w:sz w:val="22"/>
        </w:rPr>
        <w:t>:</w:t>
      </w:r>
      <w:r w:rsidRPr="00BB7B9A">
        <w:rPr>
          <w:rFonts w:ascii="Times New Roman" w:hAnsi="Times New Roman" w:cs="Times New Roman"/>
          <w:sz w:val="22"/>
        </w:rPr>
        <w:t xml:space="preserve"> “the awesomeness of the sacred, posited as a reality ‘behind’ the phenomena of the external world, is introjected into consciousness, mystifying the formations of socialization that have been deposited there” (Berger 1967, 95).  Berger first puts the existence of the sacred reality in brackets which is posited as a reality behind or hidden from the phenomena of the external world, and thus he </w:t>
      </w:r>
      <w:r w:rsidRPr="00BB7B9A">
        <w:rPr>
          <w:rFonts w:ascii="Times New Roman" w:hAnsi="Times New Roman" w:cs="Times New Roman" w:hint="eastAsia"/>
          <w:sz w:val="22"/>
        </w:rPr>
        <w:t>has nothing to say</w:t>
      </w:r>
      <w:r w:rsidRPr="00BB7B9A">
        <w:rPr>
          <w:rFonts w:ascii="Times New Roman" w:hAnsi="Times New Roman" w:cs="Times New Roman"/>
          <w:sz w:val="22"/>
        </w:rPr>
        <w:t xml:space="preserve"> about the</w:t>
      </w:r>
      <w:r w:rsidRPr="00BB7B9A">
        <w:rPr>
          <w:rFonts w:ascii="Times New Roman" w:hAnsi="Times New Roman" w:cs="Times New Roman" w:hint="eastAsia"/>
          <w:sz w:val="22"/>
        </w:rPr>
        <w:t xml:space="preserve"> sacred</w:t>
      </w:r>
      <w:r w:rsidRPr="00BB7B9A">
        <w:rPr>
          <w:rFonts w:ascii="Times New Roman" w:hAnsi="Times New Roman" w:cs="Times New Roman"/>
          <w:sz w:val="22"/>
        </w:rPr>
        <w:t xml:space="preserve"> reality </w:t>
      </w:r>
      <w:r w:rsidRPr="00BB7B9A">
        <w:rPr>
          <w:rFonts w:ascii="Times New Roman" w:hAnsi="Times New Roman" w:cs="Times New Roman" w:hint="eastAsia"/>
          <w:sz w:val="22"/>
        </w:rPr>
        <w:t xml:space="preserve">itself </w:t>
      </w:r>
      <w:r w:rsidRPr="00BB7B9A">
        <w:rPr>
          <w:rFonts w:ascii="Times New Roman" w:hAnsi="Times New Roman" w:cs="Times New Roman"/>
          <w:sz w:val="22"/>
        </w:rPr>
        <w:t>– ‘phenomenological reduction.’  This means that the posited distinctive and central element of religion is beyond the scope of sociological investigation and thus the claims pertaining to a sacred realm or a supernatural realm cannot be grasped by sociological methods.  As a matter of fact, Berger’s position on religion is very ambivalent.  By arguing that “to say that religio</w:t>
      </w:r>
      <w:r w:rsidRPr="00BB7B9A">
        <w:rPr>
          <w:rFonts w:ascii="Times New Roman" w:hAnsi="Times New Roman" w:cs="Times New Roman" w:hint="eastAsia"/>
          <w:sz w:val="22"/>
        </w:rPr>
        <w:t>n</w:t>
      </w:r>
      <w:r w:rsidRPr="00BB7B9A">
        <w:rPr>
          <w:rFonts w:ascii="Times New Roman" w:hAnsi="Times New Roman" w:cs="Times New Roman"/>
          <w:sz w:val="22"/>
        </w:rPr>
        <w:t xml:space="preserve"> is a human projection does not logically preclude the possibility that the projected meanings may have an ultimate status independent of man,” he seems to expand sociology’s capacity to analyze the sacred aspect of religion.  But at the same time, he puts a limitation on the scope of sociological inquiry by proposing that “sociological theory (and, indeed, any other theory moving within the framework of empirical discipline) will always view religion s</w:t>
      </w:r>
      <w:r w:rsidRPr="00BB7B9A">
        <w:rPr>
          <w:rFonts w:ascii="Times New Roman" w:hAnsi="Times New Roman" w:cs="Times New Roman"/>
          <w:i/>
          <w:sz w:val="22"/>
        </w:rPr>
        <w:t>ub specie temporis</w:t>
      </w:r>
      <w:r w:rsidRPr="00BB7B9A">
        <w:rPr>
          <w:rFonts w:ascii="Times New Roman" w:hAnsi="Times New Roman" w:cs="Times New Roman"/>
          <w:sz w:val="22"/>
        </w:rPr>
        <w:t xml:space="preserve">, thus of necessity leaving open the question whether and how it might </w:t>
      </w:r>
      <w:r w:rsidRPr="00BB7B9A">
        <w:rPr>
          <w:rFonts w:ascii="Times New Roman" w:hAnsi="Times New Roman" w:cs="Times New Roman"/>
          <w:i/>
          <w:sz w:val="22"/>
        </w:rPr>
        <w:t>also</w:t>
      </w:r>
      <w:r w:rsidRPr="00BB7B9A">
        <w:rPr>
          <w:rFonts w:ascii="Times New Roman" w:hAnsi="Times New Roman" w:cs="Times New Roman"/>
          <w:sz w:val="22"/>
        </w:rPr>
        <w:t xml:space="preserve"> be viewed </w:t>
      </w:r>
      <w:r w:rsidRPr="00BB7B9A">
        <w:rPr>
          <w:rFonts w:ascii="Times New Roman" w:hAnsi="Times New Roman" w:cs="Times New Roman"/>
          <w:i/>
          <w:sz w:val="22"/>
        </w:rPr>
        <w:t>sub specie aeternitatis</w:t>
      </w:r>
      <w:r w:rsidRPr="00BB7B9A">
        <w:rPr>
          <w:rFonts w:ascii="Times New Roman" w:hAnsi="Times New Roman" w:cs="Times New Roman"/>
          <w:sz w:val="22"/>
        </w:rPr>
        <w:t>”</w:t>
      </w:r>
      <w:r w:rsidRPr="00BB7B9A">
        <w:rPr>
          <w:rFonts w:ascii="Times New Roman" w:hAnsi="Times New Roman" w:cs="Times New Roman" w:hint="eastAsia"/>
          <w:sz w:val="22"/>
        </w:rPr>
        <w:t xml:space="preserve"> </w:t>
      </w:r>
      <w:r w:rsidRPr="00BB7B9A">
        <w:rPr>
          <w:rFonts w:ascii="Times New Roman" w:hAnsi="Times New Roman" w:cs="Times New Roman"/>
          <w:sz w:val="22"/>
        </w:rPr>
        <w:t xml:space="preserve">(1967, 180).  </w:t>
      </w:r>
    </w:p>
    <w:p w:rsidR="00E87C3B" w:rsidRPr="00BB7B9A" w:rsidRDefault="00E87C3B" w:rsidP="00BB7B9A">
      <w:pPr>
        <w:wordWrap/>
        <w:spacing w:line="360" w:lineRule="auto"/>
        <w:ind w:firstLine="800"/>
        <w:jc w:val="left"/>
        <w:rPr>
          <w:rFonts w:ascii="Times New Roman" w:eastAsia="바탕" w:hAnsi="Times New Roman" w:cs="Times New Roman"/>
          <w:sz w:val="22"/>
        </w:rPr>
      </w:pPr>
      <w:r w:rsidRPr="00BB7B9A">
        <w:rPr>
          <w:rFonts w:ascii="Times New Roman" w:hAnsi="Times New Roman" w:cs="Times New Roman"/>
          <w:sz w:val="22"/>
        </w:rPr>
        <w:t xml:space="preserve">In addition, his theory of social construction of reality has fundamentally serious problems.  Before imagining the process of externalization, he has to imagine the moment of subjective consciousness into which the sacred reality can be introjected.  This process of introjections has a fundamental importance in explaining the social construction of reality, without which the construction of </w:t>
      </w:r>
      <w:r w:rsidRPr="00BB7B9A">
        <w:rPr>
          <w:rFonts w:ascii="Times New Roman" w:hAnsi="Times New Roman" w:cs="Times New Roman" w:hint="eastAsia"/>
          <w:sz w:val="22"/>
        </w:rPr>
        <w:t xml:space="preserve">a </w:t>
      </w:r>
      <w:r w:rsidRPr="00BB7B9A">
        <w:rPr>
          <w:rFonts w:ascii="Times New Roman" w:hAnsi="Times New Roman" w:cs="Times New Roman"/>
          <w:sz w:val="22"/>
        </w:rPr>
        <w:t xml:space="preserve">sacred cosmos is impossible.  But he does not give us any explanation of how this introjection occurs and what kind of mechanism this is.  </w:t>
      </w:r>
      <w:r w:rsidRPr="00BB7B9A">
        <w:rPr>
          <w:rFonts w:ascii="Times New Roman" w:eastAsia="바탕" w:hAnsi="Times New Roman" w:cs="Times New Roman"/>
          <w:sz w:val="22"/>
        </w:rPr>
        <w:t xml:space="preserve">In Berger’s sociology, everything social derives from subjective consciousness.  Following </w:t>
      </w:r>
      <w:r w:rsidRPr="00BB7B9A">
        <w:rPr>
          <w:rFonts w:ascii="Times New Roman" w:eastAsia="바탕" w:hAnsi="Times New Roman" w:cs="Times New Roman" w:hint="eastAsia"/>
          <w:sz w:val="22"/>
        </w:rPr>
        <w:t xml:space="preserve">the </w:t>
      </w:r>
      <w:r w:rsidRPr="00BB7B9A">
        <w:rPr>
          <w:rFonts w:ascii="Times New Roman" w:eastAsia="바탕" w:hAnsi="Times New Roman" w:cs="Times New Roman"/>
          <w:sz w:val="22"/>
        </w:rPr>
        <w:t xml:space="preserve">phenomenological tradition, he stresses that consciousness precedes socialization, and only a part of consciousness is shaped by socialization into the form that becomes the individual’s socially recognizable identity (1967, 83).  Thus, public meaning contexts are created out of essentially private individual meaning-contexts in consciousness.   That is to say, it is assumed that the meaning of words is to be fixed by naming subjective impressions.   Subjective experience is conceived not only as the foundation of empirical knowledge, but also as the foundation of language.   But Wittgenstein’s argument of the impossibility of private language raises a question about how it is possible </w:t>
      </w:r>
      <w:r w:rsidRPr="00BB7B9A">
        <w:rPr>
          <w:rFonts w:ascii="Times New Roman" w:eastAsia="바탕" w:hAnsi="Times New Roman" w:cs="Times New Roman" w:hint="eastAsia"/>
          <w:sz w:val="22"/>
        </w:rPr>
        <w:t>to</w:t>
      </w:r>
      <w:r w:rsidRPr="00BB7B9A">
        <w:rPr>
          <w:rFonts w:ascii="Times New Roman" w:eastAsia="바탕" w:hAnsi="Times New Roman" w:cs="Times New Roman"/>
          <w:sz w:val="22"/>
        </w:rPr>
        <w:t xml:space="preserve"> have subjective consciousness without language?  What kind </w:t>
      </w:r>
      <w:r w:rsidRPr="00BB7B9A">
        <w:rPr>
          <w:rFonts w:ascii="Times New Roman" w:eastAsia="바탕" w:hAnsi="Times New Roman" w:cs="Times New Roman"/>
          <w:sz w:val="22"/>
        </w:rPr>
        <w:lastRenderedPageBreak/>
        <w:t xml:space="preserve">of meaning can be constructed in consciousness without public language?   “A ceremony of naming can lay down standards for distinguishing correct and incorrect uses of a term, and hence provide it with meaning, only if the application of the standards can in principle be explained to and understood by others” (Glock 1996, 26).  For Wittgenstein, private language is “not a language which is unshared as a matter of fact, but one which is unsharable and unteachable in principle, because its words refer to what can only be known to the speaker, namely his immediate private experience” (Glock 1996, 309).  Therefore, it is a logical impossibility to pose that public meaning contexts are created out of essentially private individual meaning-contexts in consciousness.  Berger clearly argues that religion is a humanly constructed universe of meaning and this construction is undertaken by linguistic means.  Language is a fundamentally social mechanism.  Without </w:t>
      </w:r>
      <w:r w:rsidRPr="00BB7B9A">
        <w:rPr>
          <w:rFonts w:ascii="Times New Roman" w:eastAsia="바탕" w:hAnsi="Times New Roman" w:cs="Times New Roman" w:hint="eastAsia"/>
          <w:sz w:val="22"/>
        </w:rPr>
        <w:t xml:space="preserve">a </w:t>
      </w:r>
      <w:r w:rsidRPr="00BB7B9A">
        <w:rPr>
          <w:rFonts w:ascii="Times New Roman" w:eastAsia="바탕" w:hAnsi="Times New Roman" w:cs="Times New Roman"/>
          <w:sz w:val="22"/>
        </w:rPr>
        <w:t xml:space="preserve">publicly shared language, meaning cannot be established.  We are naturally social beings from the beginning.  Social dimension is not derivative, but basic in human life.  </w:t>
      </w:r>
    </w:p>
    <w:p w:rsidR="00E87C3B" w:rsidRPr="00BB7B9A" w:rsidRDefault="00E87C3B" w:rsidP="00BB7B9A">
      <w:pPr>
        <w:wordWrap/>
        <w:spacing w:line="360" w:lineRule="auto"/>
        <w:ind w:firstLine="800"/>
        <w:jc w:val="left"/>
        <w:rPr>
          <w:rFonts w:ascii="Times New Roman" w:hAnsi="Times New Roman" w:cs="Times New Roman"/>
          <w:sz w:val="22"/>
        </w:rPr>
      </w:pPr>
      <w:r w:rsidRPr="00BB7B9A">
        <w:rPr>
          <w:rFonts w:ascii="Times New Roman" w:hAnsi="Times New Roman" w:cs="Times New Roman"/>
          <w:sz w:val="22"/>
        </w:rPr>
        <w:t xml:space="preserve">The fundamental problem of </w:t>
      </w:r>
      <w:r w:rsidRPr="00BB7B9A">
        <w:rPr>
          <w:rFonts w:ascii="Times New Roman" w:hAnsi="Times New Roman" w:cs="Times New Roman" w:hint="eastAsia"/>
          <w:sz w:val="22"/>
        </w:rPr>
        <w:t xml:space="preserve">the </w:t>
      </w:r>
      <w:r w:rsidRPr="00BB7B9A">
        <w:rPr>
          <w:rFonts w:ascii="Times New Roman" w:hAnsi="Times New Roman" w:cs="Times New Roman"/>
          <w:sz w:val="22"/>
        </w:rPr>
        <w:t xml:space="preserve">phenomenological tradition lies in the assumption that experience of a mysterious power or occult force predates conceptualizations of, for example, spirits, deities and so on.  That is to say, in the phenomenological approach, the possibility of perceiving the world prior to or without language is assumed.  Here we need to raise a question about the character of perception itself or the impression in the mind; how do we recognize phenomena themselves, and how do we know what to call them?  Finch (2001) writes about the presumed possibility of perceiving the phenomena without language.  </w:t>
      </w:r>
    </w:p>
    <w:p w:rsidR="00E87C3B" w:rsidRPr="00BB7B9A" w:rsidRDefault="00E87C3B" w:rsidP="00BB7B9A">
      <w:pPr>
        <w:wordWrap/>
        <w:spacing w:line="360" w:lineRule="auto"/>
        <w:ind w:leftChars="400" w:left="800" w:rightChars="400" w:right="800"/>
        <w:jc w:val="left"/>
        <w:rPr>
          <w:rFonts w:ascii="Times New Roman" w:hAnsi="Times New Roman" w:cs="Times New Roman"/>
          <w:sz w:val="22"/>
        </w:rPr>
      </w:pPr>
    </w:p>
    <w:p w:rsidR="00E87C3B" w:rsidRPr="00BB7B9A" w:rsidRDefault="00E87C3B" w:rsidP="00D1586E">
      <w:pPr>
        <w:wordWrap/>
        <w:ind w:leftChars="400" w:left="800" w:rightChars="400" w:right="800"/>
        <w:jc w:val="left"/>
        <w:rPr>
          <w:rFonts w:ascii="Times New Roman" w:hAnsi="Times New Roman" w:cs="Times New Roman"/>
          <w:sz w:val="22"/>
        </w:rPr>
      </w:pPr>
      <w:r w:rsidRPr="00BB7B9A">
        <w:rPr>
          <w:rFonts w:ascii="Times New Roman" w:hAnsi="Times New Roman" w:cs="Times New Roman"/>
          <w:sz w:val="22"/>
        </w:rPr>
        <w:t xml:space="preserve">It is the feeling that perception tells us something about the world prior to language and that if we had perception alone without language the world would still have some kind of determinate character.  We think of perception (and particular vision) as a kind of picturing, or at least on the analogy of picturing.  So it seems that something </w:t>
      </w:r>
      <w:r w:rsidRPr="00BB7B9A">
        <w:rPr>
          <w:rFonts w:ascii="Times New Roman" w:hAnsi="Times New Roman" w:cs="Times New Roman"/>
          <w:i/>
          <w:sz w:val="22"/>
        </w:rPr>
        <w:t>is there, and we perceive it apart from words</w:t>
      </w:r>
      <w:r w:rsidRPr="00BB7B9A">
        <w:rPr>
          <w:rFonts w:ascii="Times New Roman" w:hAnsi="Times New Roman" w:cs="Times New Roman"/>
          <w:sz w:val="22"/>
        </w:rPr>
        <w:t xml:space="preserve"> (82). </w:t>
      </w:r>
    </w:p>
    <w:p w:rsidR="00E87C3B" w:rsidRPr="00BB7B9A" w:rsidRDefault="00E87C3B" w:rsidP="00BB7B9A">
      <w:pPr>
        <w:wordWrap/>
        <w:spacing w:line="360" w:lineRule="auto"/>
        <w:ind w:firstLine="800"/>
        <w:jc w:val="left"/>
        <w:rPr>
          <w:rFonts w:ascii="Times New Roman" w:hAnsi="Times New Roman" w:cs="Times New Roman"/>
          <w:sz w:val="22"/>
        </w:rPr>
      </w:pP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If it is possible to perceive the world apart from words, the next step is to find an intermediary linking something perceived in the mind and the publicly recognizable expression.  The phenomenological approach to experience, identified by Coulter (1979</w:t>
      </w:r>
      <w:r w:rsidRPr="00BB7B9A">
        <w:rPr>
          <w:rFonts w:ascii="Times New Roman" w:hAnsi="Times New Roman" w:cs="Times New Roman" w:hint="eastAsia"/>
          <w:sz w:val="22"/>
        </w:rPr>
        <w:t>a</w:t>
      </w:r>
      <w:r w:rsidRPr="00BB7B9A">
        <w:rPr>
          <w:rFonts w:ascii="Times New Roman" w:hAnsi="Times New Roman" w:cs="Times New Roman"/>
          <w:sz w:val="22"/>
        </w:rPr>
        <w:t>), assume</w:t>
      </w:r>
      <w:r w:rsidRPr="00BB7B9A">
        <w:rPr>
          <w:rFonts w:ascii="Times New Roman" w:hAnsi="Times New Roman" w:cs="Times New Roman" w:hint="eastAsia"/>
          <w:sz w:val="22"/>
        </w:rPr>
        <w:t>s</w:t>
      </w:r>
      <w:r w:rsidRPr="00BB7B9A">
        <w:rPr>
          <w:rFonts w:ascii="Times New Roman" w:hAnsi="Times New Roman" w:cs="Times New Roman"/>
          <w:sz w:val="22"/>
        </w:rPr>
        <w:t xml:space="preserve"> that “we acquire the capacity correctly to employ basic experiential concepts (e.g. ‘pain’) in our own case by inspecting our own inner, experiential state, identifying it and then learning to match it with the appropriate linguistic category or expression as if we possessed the experiential equivalent of a bottle somewhere inside our skin for which we are selecting the correct label” (76-77).  The presupposition of the distinction between the ‘</w:t>
      </w:r>
      <w:r w:rsidRPr="00BB7B9A">
        <w:rPr>
          <w:rFonts w:ascii="Times New Roman" w:hAnsi="Times New Roman" w:cs="Times New Roman"/>
          <w:i/>
          <w:sz w:val="22"/>
        </w:rPr>
        <w:t>raw</w:t>
      </w:r>
      <w:r w:rsidRPr="00BB7B9A">
        <w:rPr>
          <w:rFonts w:ascii="Times New Roman" w:hAnsi="Times New Roman" w:cs="Times New Roman"/>
          <w:sz w:val="22"/>
        </w:rPr>
        <w:t xml:space="preserve">’ experiential material regarded as primary, and the interpretation of experience regarded as secondary necessarily leads us to identify the mechanism of linking the raw material in the subjective mind which is inaccessible to others, and the appropriate linguistic category.  However, if we cannot recognize the raw experiential material intelligibly in the first place, how can we match it to linguistic expression?  On what criteria can we determine </w:t>
      </w:r>
      <w:r w:rsidRPr="00BB7B9A">
        <w:rPr>
          <w:rFonts w:ascii="Times New Roman" w:hAnsi="Times New Roman" w:cs="Times New Roman" w:hint="eastAsia"/>
          <w:sz w:val="22"/>
        </w:rPr>
        <w:t xml:space="preserve">that </w:t>
      </w:r>
      <w:r w:rsidRPr="00BB7B9A">
        <w:rPr>
          <w:rFonts w:ascii="Times New Roman" w:hAnsi="Times New Roman" w:cs="Times New Roman"/>
          <w:sz w:val="22"/>
        </w:rPr>
        <w:t xml:space="preserve">this matching is verifiable?  One possible </w:t>
      </w:r>
      <w:r w:rsidRPr="00BB7B9A">
        <w:rPr>
          <w:rFonts w:ascii="Times New Roman" w:hAnsi="Times New Roman" w:cs="Times New Roman"/>
          <w:sz w:val="22"/>
        </w:rPr>
        <w:lastRenderedPageBreak/>
        <w:t xml:space="preserve">answer is that the mind is furnished with memory traces which are already identified by previous experience, and then it can use </w:t>
      </w:r>
      <w:r w:rsidRPr="00BB7B9A">
        <w:rPr>
          <w:rFonts w:ascii="Times New Roman" w:hAnsi="Times New Roman" w:cs="Times New Roman" w:hint="eastAsia"/>
          <w:sz w:val="22"/>
        </w:rPr>
        <w:t xml:space="preserve">it </w:t>
      </w:r>
      <w:r w:rsidRPr="00BB7B9A">
        <w:rPr>
          <w:rFonts w:ascii="Times New Roman" w:hAnsi="Times New Roman" w:cs="Times New Roman"/>
          <w:sz w:val="22"/>
        </w:rPr>
        <w:t xml:space="preserve">to identify subsequent perceptions.  But this answer is not acceptable because it leads to an infinite regress.  </w:t>
      </w:r>
    </w:p>
    <w:p w:rsidR="00E87C3B" w:rsidRPr="00BB7B9A" w:rsidRDefault="00E87C3B" w:rsidP="00BB7B9A">
      <w:pPr>
        <w:wordWrap/>
        <w:spacing w:line="360" w:lineRule="auto"/>
        <w:ind w:firstLine="800"/>
        <w:jc w:val="left"/>
        <w:rPr>
          <w:rFonts w:ascii="Times New Roman" w:hAnsi="Times New Roman" w:cs="Times New Roman"/>
          <w:sz w:val="22"/>
        </w:rPr>
      </w:pPr>
      <w:r w:rsidRPr="00BB7B9A">
        <w:rPr>
          <w:rFonts w:ascii="Times New Roman" w:hAnsi="Times New Roman" w:cs="Times New Roman"/>
          <w:sz w:val="22"/>
        </w:rPr>
        <w:t xml:space="preserve">The phenomenological conception of ‘the experience itself’ or ‘the experience beyond the language’ is illusory.  We sometimes call a certain experience ‘indescribable’ or ‘ineffable.’  However, the fact that we ascribe the expression ‘ineffable’ to a certain experience cannot be </w:t>
      </w:r>
      <w:r w:rsidRPr="00BB7B9A">
        <w:rPr>
          <w:rFonts w:ascii="Times New Roman" w:hAnsi="Times New Roman" w:cs="Times New Roman" w:hint="eastAsia"/>
          <w:sz w:val="22"/>
        </w:rPr>
        <w:t xml:space="preserve">used as </w:t>
      </w:r>
      <w:r w:rsidRPr="00BB7B9A">
        <w:rPr>
          <w:rFonts w:ascii="Times New Roman" w:hAnsi="Times New Roman" w:cs="Times New Roman"/>
          <w:sz w:val="22"/>
        </w:rPr>
        <w:t xml:space="preserve">an evidence to prove the existence of experience itself beyond language.  Rather we use the expression intelligibly in a certain situation.  For example, sport athletes sometimes describe their experience </w:t>
      </w:r>
      <w:r w:rsidRPr="00BB7B9A">
        <w:rPr>
          <w:rFonts w:ascii="Times New Roman" w:hAnsi="Times New Roman" w:cs="Times New Roman" w:hint="eastAsia"/>
          <w:sz w:val="22"/>
        </w:rPr>
        <w:t xml:space="preserve">as </w:t>
      </w:r>
      <w:r w:rsidRPr="00BB7B9A">
        <w:rPr>
          <w:rFonts w:ascii="Times New Roman" w:hAnsi="Times New Roman" w:cs="Times New Roman"/>
          <w:sz w:val="22"/>
        </w:rPr>
        <w:t xml:space="preserve">‘ineffable,’ ‘inexpressible,’ or ‘transcendent’ in a situation of being outside self, of </w:t>
      </w:r>
      <w:r w:rsidRPr="00BB7B9A">
        <w:rPr>
          <w:rFonts w:ascii="Times New Roman" w:hAnsi="Times New Roman" w:cs="Times New Roman" w:hint="eastAsia"/>
          <w:sz w:val="22"/>
        </w:rPr>
        <w:t xml:space="preserve">a </w:t>
      </w:r>
      <w:r w:rsidRPr="00BB7B9A">
        <w:rPr>
          <w:rFonts w:ascii="Times New Roman" w:hAnsi="Times New Roman" w:cs="Times New Roman"/>
          <w:sz w:val="22"/>
        </w:rPr>
        <w:t xml:space="preserve">metamorphosis associated with going beyond the limits of human endurance.  “In endeavoring to put their experience into words athletes spontaneously resort to language which is akin to that of religious mysticism” (Hervieu-Léger 2000, 52).  Here, they do not report a (indescribable) state inside their mind but they metaphorically use religious terminology to express, for example, the hardship of training.  Even the notion of ‘ineffability’ has its use in our life. </w:t>
      </w:r>
      <w:r w:rsidR="00811499">
        <w:rPr>
          <w:rFonts w:ascii="Times New Roman" w:hAnsi="Times New Roman" w:cs="Times New Roman" w:hint="eastAsia"/>
          <w:sz w:val="22"/>
        </w:rPr>
        <w:t xml:space="preserve"> </w:t>
      </w:r>
      <w:r w:rsidRPr="00BB7B9A">
        <w:rPr>
          <w:rFonts w:ascii="Times New Roman" w:hAnsi="Times New Roman" w:cs="Times New Roman"/>
          <w:sz w:val="22"/>
        </w:rPr>
        <w:t>The criteria of ineffability are social.  It is ‘the illegitimate phenomenological fallacy’ to pose “some putatively private and ultimately inscrutable inner experience (Coulter 1979</w:t>
      </w:r>
      <w:r w:rsidRPr="00BB7B9A">
        <w:rPr>
          <w:rFonts w:ascii="Times New Roman" w:hAnsi="Times New Roman" w:cs="Times New Roman" w:hint="eastAsia"/>
          <w:sz w:val="22"/>
        </w:rPr>
        <w:t>a</w:t>
      </w:r>
      <w:r w:rsidRPr="00BB7B9A">
        <w:rPr>
          <w:rFonts w:ascii="Times New Roman" w:hAnsi="Times New Roman" w:cs="Times New Roman"/>
          <w:sz w:val="22"/>
        </w:rPr>
        <w:t>, 82).  Against such a phenomenological assumption, Coulter (1979</w:t>
      </w:r>
      <w:r w:rsidRPr="00BB7B9A">
        <w:rPr>
          <w:rFonts w:ascii="Times New Roman" w:hAnsi="Times New Roman" w:cs="Times New Roman" w:hint="eastAsia"/>
          <w:sz w:val="22"/>
        </w:rPr>
        <w:t>a</w:t>
      </w:r>
      <w:r w:rsidRPr="00BB7B9A">
        <w:rPr>
          <w:rFonts w:ascii="Times New Roman" w:hAnsi="Times New Roman" w:cs="Times New Roman"/>
          <w:sz w:val="22"/>
        </w:rPr>
        <w:t xml:space="preserve">) argues that “human experiences are available to us as objects of possible knowledge solely in virtue of the social procedures of linguistic training, and that, whilst of course we may all </w:t>
      </w:r>
      <w:r w:rsidRPr="00BB7B9A">
        <w:rPr>
          <w:rFonts w:ascii="Times New Roman" w:hAnsi="Times New Roman" w:cs="Times New Roman"/>
          <w:i/>
          <w:sz w:val="22"/>
        </w:rPr>
        <w:t>have</w:t>
      </w:r>
      <w:r w:rsidRPr="00BB7B9A">
        <w:rPr>
          <w:rFonts w:ascii="Times New Roman" w:hAnsi="Times New Roman" w:cs="Times New Roman"/>
          <w:sz w:val="22"/>
        </w:rPr>
        <w:t xml:space="preserve"> experiences before we acquire any language at all, a training in the conceptual resources</w:t>
      </w:r>
      <w:r w:rsidRPr="00BB7B9A">
        <w:rPr>
          <w:rFonts w:ascii="Times New Roman" w:hAnsi="Times New Roman" w:cs="Times New Roman" w:hint="eastAsia"/>
          <w:sz w:val="22"/>
        </w:rPr>
        <w:t xml:space="preserve"> of </w:t>
      </w:r>
      <w:r w:rsidRPr="00BB7B9A">
        <w:rPr>
          <w:rFonts w:ascii="Times New Roman" w:hAnsi="Times New Roman" w:cs="Times New Roman"/>
          <w:sz w:val="22"/>
        </w:rPr>
        <w:t xml:space="preserve">a natural language is a pre-requisite for our </w:t>
      </w:r>
      <w:r w:rsidRPr="00BB7B9A">
        <w:rPr>
          <w:rFonts w:ascii="Times New Roman" w:hAnsi="Times New Roman" w:cs="Times New Roman"/>
          <w:i/>
          <w:sz w:val="22"/>
        </w:rPr>
        <w:t>knowledge</w:t>
      </w:r>
      <w:r w:rsidRPr="00BB7B9A">
        <w:rPr>
          <w:rFonts w:ascii="Times New Roman" w:hAnsi="Times New Roman" w:cs="Times New Roman"/>
          <w:sz w:val="22"/>
        </w:rPr>
        <w:t xml:space="preserve"> of subjective experiences (77).  Therefore, the conception of a purely ‘private’ experience as </w:t>
      </w:r>
      <w:r w:rsidRPr="00BB7B9A">
        <w:rPr>
          <w:rFonts w:ascii="Times New Roman" w:hAnsi="Times New Roman" w:cs="Times New Roman" w:hint="eastAsia"/>
          <w:sz w:val="22"/>
        </w:rPr>
        <w:t xml:space="preserve">a </w:t>
      </w:r>
      <w:r w:rsidRPr="00BB7B9A">
        <w:rPr>
          <w:rFonts w:ascii="Times New Roman" w:hAnsi="Times New Roman" w:cs="Times New Roman"/>
          <w:sz w:val="22"/>
        </w:rPr>
        <w:t xml:space="preserve">possible object of knowledge is incoherent.  “The experiences themselves are conceptualized in and through the language in distinctive ways that do not depend upon some mysterious form of inner ostension” (79).  We acquire a public experiential vocabulary and a practical ability to use them in a situation through various processes of language learning in social practices.  In conclusion, acculturation into social practices is </w:t>
      </w:r>
      <w:r w:rsidRPr="00BB7B9A">
        <w:rPr>
          <w:rFonts w:ascii="Times New Roman" w:hAnsi="Times New Roman" w:cs="Times New Roman" w:hint="eastAsia"/>
          <w:sz w:val="22"/>
        </w:rPr>
        <w:t xml:space="preserve">a </w:t>
      </w:r>
      <w:r w:rsidRPr="00BB7B9A">
        <w:rPr>
          <w:rFonts w:ascii="Times New Roman" w:hAnsi="Times New Roman" w:cs="Times New Roman"/>
          <w:sz w:val="22"/>
        </w:rPr>
        <w:t xml:space="preserve">prerequisite for thought as well as </w:t>
      </w:r>
      <w:r w:rsidRPr="00BB7B9A">
        <w:rPr>
          <w:rFonts w:ascii="Times New Roman" w:hAnsi="Times New Roman" w:cs="Times New Roman" w:hint="eastAsia"/>
          <w:sz w:val="22"/>
        </w:rPr>
        <w:t xml:space="preserve">intelligible </w:t>
      </w:r>
      <w:r w:rsidRPr="00BB7B9A">
        <w:rPr>
          <w:rFonts w:ascii="Times New Roman" w:hAnsi="Times New Roman" w:cs="Times New Roman"/>
          <w:sz w:val="22"/>
        </w:rPr>
        <w:t xml:space="preserve">experience (Springs 2008, 950).  </w:t>
      </w:r>
    </w:p>
    <w:p w:rsidR="00E87C3B" w:rsidRPr="00BB7B9A" w:rsidRDefault="00E87C3B" w:rsidP="00BB7B9A">
      <w:pPr>
        <w:wordWrap/>
        <w:spacing w:line="360" w:lineRule="auto"/>
        <w:jc w:val="left"/>
        <w:rPr>
          <w:rFonts w:ascii="Times New Roman" w:hAnsi="Times New Roman" w:cs="Times New Roman"/>
          <w:sz w:val="22"/>
        </w:rPr>
      </w:pPr>
    </w:p>
    <w:p w:rsidR="00E87C3B" w:rsidRPr="00BB7B9A" w:rsidRDefault="00E87C3B" w:rsidP="00611164">
      <w:pPr>
        <w:numPr>
          <w:ilvl w:val="0"/>
          <w:numId w:val="29"/>
        </w:numPr>
        <w:wordWrap/>
        <w:spacing w:line="360" w:lineRule="auto"/>
        <w:jc w:val="left"/>
        <w:rPr>
          <w:rFonts w:ascii="Times New Roman" w:hAnsi="Times New Roman" w:cs="Times New Roman"/>
          <w:sz w:val="22"/>
        </w:rPr>
      </w:pPr>
      <w:r w:rsidRPr="00BB7B9A">
        <w:rPr>
          <w:rFonts w:ascii="Times New Roman" w:hAnsi="Times New Roman" w:cs="Times New Roman"/>
          <w:sz w:val="22"/>
        </w:rPr>
        <w:t xml:space="preserve">The Materialist Tradition – The Sacred as </w:t>
      </w:r>
      <w:r w:rsidRPr="00BB7B9A">
        <w:rPr>
          <w:rFonts w:ascii="Times New Roman" w:hAnsi="Times New Roman" w:cs="Times New Roman"/>
          <w:i/>
          <w:sz w:val="22"/>
        </w:rPr>
        <w:t>Embodied</w:t>
      </w:r>
    </w:p>
    <w:p w:rsidR="00AD1584" w:rsidRDefault="00AD1584" w:rsidP="00BB7B9A">
      <w:pPr>
        <w:wordWrap/>
        <w:spacing w:line="360" w:lineRule="auto"/>
        <w:jc w:val="left"/>
        <w:rPr>
          <w:rFonts w:ascii="Times New Roman" w:hAnsi="Times New Roman" w:cs="Times New Roman"/>
          <w:sz w:val="22"/>
        </w:rPr>
      </w:pP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 xml:space="preserve">Recently we have witnessed the emergence of the body as a topic of research in the humanities and social sciences.  In the study of religion, the awareness of the body as a system of meaning and the embodiment as a basic category to understand human practices come into fashion (Coakley1997; Turner 2006).   </w:t>
      </w:r>
    </w:p>
    <w:p w:rsidR="00E87C3B" w:rsidRPr="00BB7B9A" w:rsidRDefault="00E87C3B" w:rsidP="00BB7B9A">
      <w:pPr>
        <w:wordWrap/>
        <w:spacing w:line="360" w:lineRule="auto"/>
        <w:ind w:firstLine="720"/>
        <w:jc w:val="left"/>
        <w:rPr>
          <w:rFonts w:ascii="Times New Roman" w:eastAsia="바탕" w:hAnsi="Times New Roman" w:cs="Times New Roman"/>
          <w:sz w:val="22"/>
        </w:rPr>
      </w:pPr>
      <w:r w:rsidRPr="00BB7B9A">
        <w:rPr>
          <w:rFonts w:ascii="Times New Roman" w:hAnsi="Times New Roman" w:cs="Times New Roman"/>
          <w:sz w:val="22"/>
        </w:rPr>
        <w:t xml:space="preserve">The materialist approach to the sacred, that is, the sacred </w:t>
      </w:r>
      <w:r w:rsidRPr="00BB7B9A">
        <w:rPr>
          <w:rFonts w:ascii="Times New Roman" w:hAnsi="Times New Roman" w:cs="Times New Roman"/>
          <w:i/>
          <w:sz w:val="22"/>
        </w:rPr>
        <w:t xml:space="preserve">embodied </w:t>
      </w:r>
      <w:r w:rsidRPr="00BB7B9A">
        <w:rPr>
          <w:rFonts w:ascii="Times New Roman" w:hAnsi="Times New Roman" w:cs="Times New Roman"/>
          <w:sz w:val="22"/>
        </w:rPr>
        <w:t>or</w:t>
      </w:r>
      <w:r w:rsidRPr="00BB7B9A">
        <w:rPr>
          <w:rFonts w:ascii="Times New Roman" w:hAnsi="Times New Roman" w:cs="Times New Roman"/>
          <w:i/>
          <w:sz w:val="22"/>
        </w:rPr>
        <w:t xml:space="preserve"> corporalized</w:t>
      </w:r>
      <w:r w:rsidRPr="00BB7B9A">
        <w:rPr>
          <w:rFonts w:ascii="Times New Roman" w:hAnsi="Times New Roman" w:cs="Times New Roman"/>
          <w:sz w:val="22"/>
        </w:rPr>
        <w:t xml:space="preserve">, is not fundamentally different from the phenomenological approach in the sense that the judgments about the sacred reality are suspended and the perception of it is achieved by one’s (embodied) experience.  Whereas the phenomenological approach stresses the otherness of the sacred as a mode of human </w:t>
      </w:r>
      <w:r w:rsidRPr="00BB7B9A">
        <w:rPr>
          <w:rFonts w:ascii="Times New Roman" w:hAnsi="Times New Roman" w:cs="Times New Roman"/>
          <w:sz w:val="22"/>
        </w:rPr>
        <w:lastRenderedPageBreak/>
        <w:t xml:space="preserve">experience with an emphasis on the subjective consciousness, the materialist approach stresses the </w:t>
      </w:r>
      <w:r w:rsidRPr="00BB7B9A">
        <w:rPr>
          <w:rFonts w:ascii="Times New Roman" w:hAnsi="Times New Roman" w:cs="Times New Roman"/>
          <w:i/>
          <w:sz w:val="22"/>
        </w:rPr>
        <w:t>embodied</w:t>
      </w:r>
      <w:r w:rsidRPr="00BB7B9A">
        <w:rPr>
          <w:rFonts w:ascii="Times New Roman" w:hAnsi="Times New Roman" w:cs="Times New Roman"/>
          <w:sz w:val="22"/>
        </w:rPr>
        <w:t xml:space="preserve"> experience or bodily experience as a primordial mode of experience.  </w:t>
      </w:r>
      <w:r w:rsidR="00AD1584">
        <w:rPr>
          <w:rFonts w:ascii="Times New Roman" w:hAnsi="Times New Roman" w:cs="Times New Roman" w:hint="eastAsia"/>
          <w:sz w:val="22"/>
        </w:rPr>
        <w:t>That is to say, r</w:t>
      </w:r>
      <w:r w:rsidRPr="00BB7B9A">
        <w:rPr>
          <w:rFonts w:ascii="Times New Roman" w:hAnsi="Times New Roman" w:cs="Times New Roman"/>
          <w:sz w:val="22"/>
        </w:rPr>
        <w:t xml:space="preserve">ather than understanding the sacred as a characteristic of human consciousness, the materialist approach understands the sacred as being realized or materialized in human body.  Thus, the emergence of the body and embodiment in the study of religion is seen as the materialistic extension of the phenomenological approach.  The desire to identify empirically the instances of the encounter with the sacred calls for the paradigm of embodiment in which embodied experience has the significance </w:t>
      </w:r>
      <w:r w:rsidRPr="00BB7B9A">
        <w:rPr>
          <w:rFonts w:ascii="Times New Roman" w:hAnsi="Times New Roman" w:cs="Times New Roman" w:hint="eastAsia"/>
          <w:sz w:val="22"/>
        </w:rPr>
        <w:t>of being</w:t>
      </w:r>
      <w:r w:rsidRPr="00BB7B9A">
        <w:rPr>
          <w:rFonts w:ascii="Times New Roman" w:hAnsi="Times New Roman" w:cs="Times New Roman"/>
          <w:sz w:val="22"/>
        </w:rPr>
        <w:t xml:space="preserve"> the starting point for analyzing human participation in a world.  As Csordas </w:t>
      </w:r>
      <w:r w:rsidRPr="00BB7B9A">
        <w:rPr>
          <w:rFonts w:ascii="Times New Roman" w:hAnsi="Times New Roman" w:cs="Times New Roman" w:hint="eastAsia"/>
          <w:sz w:val="22"/>
        </w:rPr>
        <w:t xml:space="preserve">(1993) </w:t>
      </w:r>
      <w:r w:rsidRPr="00BB7B9A">
        <w:rPr>
          <w:rFonts w:ascii="Times New Roman" w:hAnsi="Times New Roman" w:cs="Times New Roman"/>
          <w:sz w:val="22"/>
        </w:rPr>
        <w:t>argues, “within the paradigm of embodiment,…we are interested in a phenomenology that will lead to conclusions both about the cultural patterning of bodily experience, and also about the intersubjective constitution of meaning through that experience” (140-141).</w:t>
      </w:r>
      <w:r w:rsidRPr="00BB7B9A">
        <w:rPr>
          <w:rStyle w:val="a7"/>
          <w:rFonts w:ascii="Times New Roman" w:hAnsi="Times New Roman"/>
          <w:sz w:val="22"/>
        </w:rPr>
        <w:footnoteReference w:id="10"/>
      </w:r>
      <w:r w:rsidRPr="00BB7B9A">
        <w:rPr>
          <w:rFonts w:ascii="Times New Roman" w:hAnsi="Times New Roman" w:cs="Times New Roman"/>
          <w:sz w:val="22"/>
        </w:rPr>
        <w:t xml:space="preserve"> </w:t>
      </w:r>
    </w:p>
    <w:p w:rsidR="00E87C3B" w:rsidRPr="00BB7B9A" w:rsidRDefault="00E87C3B" w:rsidP="00BB7B9A">
      <w:pPr>
        <w:wordWrap/>
        <w:spacing w:line="360" w:lineRule="auto"/>
        <w:ind w:firstLine="720"/>
        <w:jc w:val="left"/>
        <w:rPr>
          <w:rFonts w:ascii="Times New Roman" w:hAnsi="Times New Roman" w:cs="Times New Roman"/>
          <w:sz w:val="22"/>
        </w:rPr>
      </w:pPr>
      <w:r w:rsidRPr="00BB7B9A">
        <w:rPr>
          <w:rFonts w:ascii="Times New Roman" w:hAnsi="Times New Roman" w:cs="Times New Roman"/>
          <w:sz w:val="22"/>
        </w:rPr>
        <w:t xml:space="preserve">In his book </w:t>
      </w:r>
      <w:r w:rsidRPr="00BB7B9A">
        <w:rPr>
          <w:rFonts w:ascii="Times New Roman" w:hAnsi="Times New Roman" w:cs="Times New Roman"/>
          <w:i/>
          <w:sz w:val="22"/>
        </w:rPr>
        <w:t>Between Heaven and Earth</w:t>
      </w:r>
      <w:r w:rsidRPr="00BB7B9A">
        <w:rPr>
          <w:rFonts w:ascii="Times New Roman" w:hAnsi="Times New Roman" w:cs="Times New Roman"/>
          <w:sz w:val="22"/>
        </w:rPr>
        <w:t xml:space="preserve"> (2005), Robert A. Orsi asks how the sacred reality, the reality of special power, becomes real in particular times and places.  More specifically, “how do the gods and other special beings – and, more broadly, how does the world, visible and invisible, as the world is said to be within a particular religious culture – become as real to people as their bodies, as substantially </w:t>
      </w:r>
      <w:r w:rsidRPr="00BB7B9A">
        <w:rPr>
          <w:rFonts w:ascii="Times New Roman" w:hAnsi="Times New Roman" w:cs="Times New Roman"/>
          <w:i/>
          <w:sz w:val="22"/>
        </w:rPr>
        <w:t>there</w:t>
      </w:r>
      <w:r w:rsidRPr="00BB7B9A">
        <w:rPr>
          <w:rFonts w:ascii="Times New Roman" w:hAnsi="Times New Roman" w:cs="Times New Roman"/>
          <w:sz w:val="22"/>
        </w:rPr>
        <w:t xml:space="preserve"> as the homes they inhabit…?” (73).  Orsi’s concern with the relationship between figures of special power and </w:t>
      </w:r>
      <w:r w:rsidRPr="00BB7B9A">
        <w:rPr>
          <w:rFonts w:ascii="Times New Roman" w:hAnsi="Times New Roman" w:cs="Times New Roman" w:hint="eastAsia"/>
          <w:sz w:val="22"/>
        </w:rPr>
        <w:t>people</w:t>
      </w:r>
      <w:r w:rsidRPr="00BB7B9A">
        <w:rPr>
          <w:rFonts w:ascii="Times New Roman" w:hAnsi="Times New Roman" w:cs="Times New Roman"/>
          <w:sz w:val="22"/>
        </w:rPr>
        <w:t>’</w:t>
      </w:r>
      <w:r w:rsidRPr="00BB7B9A">
        <w:rPr>
          <w:rFonts w:ascii="Times New Roman" w:hAnsi="Times New Roman" w:cs="Times New Roman" w:hint="eastAsia"/>
          <w:sz w:val="22"/>
        </w:rPr>
        <w:t>s</w:t>
      </w:r>
      <w:r w:rsidRPr="00BB7B9A">
        <w:rPr>
          <w:rFonts w:ascii="Times New Roman" w:hAnsi="Times New Roman" w:cs="Times New Roman"/>
          <w:sz w:val="22"/>
        </w:rPr>
        <w:t xml:space="preserve"> lives and experiences is indeed based on the phenomenological scheme.  But unlike the phenomenologists of religion who emphasize feelings or emotions such as otherness, strangeness and awe, he wants to find a more concrete experiential foundation for the realization of the sacred reality.  He finds an answer in the materialization of religious worlds.  He defines religion as the practice of making the invisible visible, of concretizing the order of the universe, namely, the sacred reality.  </w:t>
      </w:r>
    </w:p>
    <w:p w:rsidR="00E87C3B" w:rsidRPr="00BB7B9A" w:rsidRDefault="00E87C3B" w:rsidP="00BB7B9A">
      <w:pPr>
        <w:wordWrap/>
        <w:spacing w:line="360" w:lineRule="auto"/>
        <w:ind w:leftChars="400" w:left="800" w:rightChars="400" w:right="800"/>
        <w:jc w:val="left"/>
        <w:rPr>
          <w:rFonts w:ascii="Times New Roman" w:hAnsi="Times New Roman" w:cs="Times New Roman"/>
          <w:sz w:val="22"/>
        </w:rPr>
      </w:pPr>
    </w:p>
    <w:p w:rsidR="00E87C3B" w:rsidRPr="00BB7B9A" w:rsidRDefault="00E87C3B" w:rsidP="00D1586E">
      <w:pPr>
        <w:wordWrap/>
        <w:ind w:leftChars="400" w:left="800" w:rightChars="400" w:right="800"/>
        <w:jc w:val="left"/>
        <w:rPr>
          <w:rFonts w:ascii="Times New Roman" w:hAnsi="Times New Roman" w:cs="Times New Roman"/>
          <w:sz w:val="22"/>
        </w:rPr>
      </w:pPr>
      <w:r w:rsidRPr="00BB7B9A">
        <w:rPr>
          <w:rFonts w:ascii="Times New Roman" w:hAnsi="Times New Roman" w:cs="Times New Roman"/>
          <w:sz w:val="22"/>
        </w:rPr>
        <w:t xml:space="preserve">The materialization of religious worlds includes a process that might be called the corporalization of the sacred.  I mean by this the practice of rendering the invisible visible by constituting it as an experience in a body – in one’s own body or in someone else’s body – so that the experiencing body itself becomes the bearer of presence for oneself and for others (74). </w:t>
      </w:r>
    </w:p>
    <w:p w:rsidR="00E87C3B" w:rsidRPr="00BB7B9A" w:rsidRDefault="00E87C3B" w:rsidP="00BB7B9A">
      <w:pPr>
        <w:wordWrap/>
        <w:spacing w:line="360" w:lineRule="auto"/>
        <w:jc w:val="left"/>
        <w:rPr>
          <w:rFonts w:ascii="Times New Roman" w:hAnsi="Times New Roman" w:cs="Times New Roman"/>
          <w:sz w:val="22"/>
        </w:rPr>
      </w:pP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Through the process of the corporalization of the sacred, he argues, the bodies may become the vehicles for the materialization of the sacred, and thus the sacred could be present in the bodies of living persons (76).  In particular, he pays attention to the fact that children’s bodies, rationalities, imaginations, and desires have been privileged media for giving substance to religious meaning, namely, for making the sacred present and material.  He writes</w:t>
      </w:r>
      <w:r w:rsidRPr="00BB7B9A">
        <w:rPr>
          <w:rFonts w:ascii="Times New Roman" w:hAnsi="Times New Roman" w:cs="Times New Roman" w:hint="eastAsia"/>
          <w:sz w:val="22"/>
        </w:rPr>
        <w:t>:</w:t>
      </w:r>
      <w:r w:rsidRPr="00BB7B9A">
        <w:rPr>
          <w:rFonts w:ascii="Times New Roman" w:hAnsi="Times New Roman" w:cs="Times New Roman"/>
          <w:sz w:val="22"/>
        </w:rPr>
        <w:t xml:space="preserve"> </w:t>
      </w:r>
    </w:p>
    <w:p w:rsidR="00E87C3B" w:rsidRPr="00BB7B9A" w:rsidRDefault="00E87C3B" w:rsidP="00BB7B9A">
      <w:pPr>
        <w:wordWrap/>
        <w:spacing w:line="360" w:lineRule="auto"/>
        <w:ind w:leftChars="400" w:left="800" w:rightChars="400" w:right="800"/>
        <w:jc w:val="left"/>
        <w:rPr>
          <w:rFonts w:ascii="Times New Roman" w:hAnsi="Times New Roman" w:cs="Times New Roman"/>
          <w:sz w:val="22"/>
        </w:rPr>
      </w:pPr>
    </w:p>
    <w:p w:rsidR="00E87C3B" w:rsidRPr="00BB7B9A" w:rsidRDefault="00E87C3B" w:rsidP="00D1586E">
      <w:pPr>
        <w:wordWrap/>
        <w:ind w:leftChars="400" w:left="800" w:rightChars="400" w:right="800"/>
        <w:jc w:val="left"/>
        <w:rPr>
          <w:rFonts w:ascii="Times New Roman" w:hAnsi="Times New Roman" w:cs="Times New Roman"/>
          <w:sz w:val="22"/>
        </w:rPr>
      </w:pPr>
      <w:r w:rsidRPr="00BB7B9A">
        <w:rPr>
          <w:rFonts w:ascii="Times New Roman" w:hAnsi="Times New Roman" w:cs="Times New Roman"/>
          <w:sz w:val="22"/>
        </w:rPr>
        <w:t xml:space="preserve">By the disciplining of children’s bodies at mass, by forming children’s limbs and </w:t>
      </w:r>
      <w:r w:rsidRPr="00BB7B9A">
        <w:rPr>
          <w:rFonts w:ascii="Times New Roman" w:hAnsi="Times New Roman" w:cs="Times New Roman"/>
          <w:sz w:val="22"/>
        </w:rPr>
        <w:lastRenderedPageBreak/>
        <w:t xml:space="preserve">emotions at prayer, and by drawing children into the circulation, association, and intimacy of bodies, destinies, needs, and feelings between heaven and earth - of the lost souls, of the guardian angels, and of earthly children (although in this world children were never merely earthly) - the world as it was said to be in Catholic doctrine become sensible, affectively alive, emotionally urgent to children and to the adults who labored so hard to represent and to embody this world in children (107). </w:t>
      </w:r>
    </w:p>
    <w:p w:rsidR="00E87C3B" w:rsidRPr="00BB7B9A" w:rsidRDefault="00E87C3B" w:rsidP="00BB7B9A">
      <w:pPr>
        <w:wordWrap/>
        <w:spacing w:line="360" w:lineRule="auto"/>
        <w:jc w:val="left"/>
        <w:rPr>
          <w:rFonts w:ascii="Times New Roman" w:hAnsi="Times New Roman" w:cs="Times New Roman"/>
          <w:sz w:val="22"/>
        </w:rPr>
      </w:pP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 xml:space="preserve">In the discussion of the materialization of the sacred, Orsi wants to avoid the fallacy of reification by arguing that the sacred is concretely experienced in children’s bodies.  He argues that “religious materiality or presence here is not things but practice” (75-76).  That is to say, through religious practice, the sacred reality is materialized into children’s bodies.  In emphasizing the mediating role of religious practice, the materialist approach is different from the phenomenological approach.  Such an understanding can find a resonance in Csordas’s (1990) account of religious practice.  </w:t>
      </w:r>
    </w:p>
    <w:p w:rsidR="00E87C3B" w:rsidRPr="00BB7B9A" w:rsidRDefault="00E87C3B" w:rsidP="00BB7B9A">
      <w:pPr>
        <w:wordWrap/>
        <w:spacing w:line="360" w:lineRule="auto"/>
        <w:ind w:leftChars="400" w:left="800" w:rightChars="400" w:right="800"/>
        <w:jc w:val="left"/>
        <w:rPr>
          <w:rFonts w:ascii="Times New Roman" w:hAnsi="Times New Roman" w:cs="Times New Roman"/>
          <w:sz w:val="22"/>
        </w:rPr>
      </w:pPr>
    </w:p>
    <w:p w:rsidR="00E87C3B" w:rsidRPr="00BB7B9A" w:rsidRDefault="00E87C3B" w:rsidP="00D1586E">
      <w:pPr>
        <w:wordWrap/>
        <w:ind w:leftChars="400" w:left="800" w:rightChars="400" w:right="800"/>
        <w:jc w:val="left"/>
        <w:rPr>
          <w:rFonts w:ascii="Times New Roman" w:hAnsi="Times New Roman" w:cs="Times New Roman"/>
          <w:sz w:val="22"/>
        </w:rPr>
      </w:pPr>
      <w:r w:rsidRPr="00BB7B9A">
        <w:rPr>
          <w:rFonts w:ascii="Times New Roman" w:hAnsi="Times New Roman" w:cs="Times New Roman"/>
          <w:sz w:val="22"/>
        </w:rPr>
        <w:t xml:space="preserve">Religious practice exploits the preobjective to produce new, sacred objectifications, and exploits the habitus in order to transform the very dispositions of which it is constituted.  What is out of the ordinary in such situations, and what therefore can be thematized as sacred, is the evocation in ritual of the preorchestrated dispositions that constitute its sense.  </w:t>
      </w:r>
      <w:r w:rsidRPr="00BB7B9A">
        <w:rPr>
          <w:rFonts w:ascii="Times New Roman" w:hAnsi="Times New Roman" w:cs="Times New Roman"/>
          <w:i/>
          <w:sz w:val="22"/>
        </w:rPr>
        <w:t>The locus of the sacred is the body, for the body is the existential ground of culture</w:t>
      </w:r>
      <w:r w:rsidRPr="00BB7B9A">
        <w:rPr>
          <w:rFonts w:ascii="Times New Roman" w:hAnsi="Times New Roman" w:cs="Times New Roman"/>
          <w:sz w:val="22"/>
        </w:rPr>
        <w:t xml:space="preserve"> (italics are mine, 39). </w:t>
      </w:r>
    </w:p>
    <w:p w:rsidR="00E87C3B" w:rsidRPr="00BB7B9A" w:rsidRDefault="00E87C3B" w:rsidP="00BB7B9A">
      <w:pPr>
        <w:wordWrap/>
        <w:spacing w:line="360" w:lineRule="auto"/>
        <w:jc w:val="left"/>
        <w:rPr>
          <w:rFonts w:ascii="Times New Roman" w:hAnsi="Times New Roman" w:cs="Times New Roman"/>
          <w:sz w:val="22"/>
        </w:rPr>
      </w:pP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 xml:space="preserve">The emergence of the body in sociological discourse represents an anti-Cartesian trend in contemporary academic culture that seeks to dethrone the mind regarded as a motivating engine of meaningful action.   That is to say, the focus on the body is seen as a reaction to the dualistic view of human nature by which the body is known and governed by the mind. </w:t>
      </w:r>
      <w:r w:rsidRPr="00BB7B9A">
        <w:rPr>
          <w:rFonts w:ascii="Times New Roman" w:hAnsi="Times New Roman" w:cs="Times New Roman" w:hint="eastAsia"/>
          <w:sz w:val="22"/>
        </w:rPr>
        <w:t xml:space="preserve"> </w:t>
      </w:r>
      <w:r w:rsidRPr="00BB7B9A">
        <w:rPr>
          <w:rFonts w:ascii="Times New Roman" w:eastAsia="바탕" w:hAnsi="Times New Roman" w:cs="Times New Roman"/>
          <w:sz w:val="22"/>
        </w:rPr>
        <w:t>Meredith B. McGuire</w:t>
      </w:r>
      <w:r w:rsidRPr="00BB7B9A">
        <w:rPr>
          <w:rFonts w:ascii="Times New Roman" w:eastAsia="바탕" w:hAnsi="Times New Roman" w:cs="Times New Roman" w:hint="eastAsia"/>
          <w:sz w:val="22"/>
        </w:rPr>
        <w:t xml:space="preserve"> (1990) argues that: </w:t>
      </w:r>
      <w:r w:rsidRPr="00BB7B9A">
        <w:rPr>
          <w:rFonts w:ascii="Times New Roman" w:eastAsia="바탕" w:hAnsi="Times New Roman" w:cs="Times New Roman"/>
          <w:sz w:val="22"/>
        </w:rPr>
        <w:t>“</w:t>
      </w:r>
      <w:r w:rsidRPr="00BB7B9A">
        <w:rPr>
          <w:rFonts w:ascii="Times New Roman" w:eastAsia="바탕" w:hAnsi="Times New Roman" w:cs="Times New Roman" w:hint="eastAsia"/>
          <w:sz w:val="22"/>
        </w:rPr>
        <w:t>T</w:t>
      </w:r>
      <w:r w:rsidRPr="00BB7B9A">
        <w:rPr>
          <w:rFonts w:ascii="Times New Roman" w:eastAsia="바탕" w:hAnsi="Times New Roman" w:cs="Times New Roman"/>
          <w:sz w:val="22"/>
        </w:rPr>
        <w:t>he living body is our fundamental phenomenological basis for apprehending self and society…</w:t>
      </w:r>
      <w:r w:rsidRPr="00BB7B9A">
        <w:rPr>
          <w:rFonts w:ascii="Times New Roman" w:eastAsia="바탕" w:hAnsi="Times New Roman" w:cs="Times New Roman" w:hint="eastAsia"/>
          <w:sz w:val="22"/>
        </w:rPr>
        <w:t xml:space="preserve"> </w:t>
      </w:r>
      <w:r w:rsidRPr="00BB7B9A">
        <w:rPr>
          <w:rFonts w:ascii="Times New Roman" w:eastAsia="바탕" w:hAnsi="Times New Roman" w:cs="Times New Roman"/>
          <w:sz w:val="22"/>
        </w:rPr>
        <w:t>If we abandon our dualistic notions of how human</w:t>
      </w:r>
      <w:r w:rsidRPr="00BB7B9A">
        <w:rPr>
          <w:rFonts w:ascii="Times New Roman" w:eastAsia="바탕" w:hAnsi="Times New Roman" w:cs="Times New Roman" w:hint="eastAsia"/>
          <w:sz w:val="22"/>
        </w:rPr>
        <w:t>s</w:t>
      </w:r>
      <w:r w:rsidRPr="00BB7B9A">
        <w:rPr>
          <w:rFonts w:ascii="Times New Roman" w:eastAsia="바탕" w:hAnsi="Times New Roman" w:cs="Times New Roman"/>
          <w:sz w:val="22"/>
        </w:rPr>
        <w:t xml:space="preserve"> relate to their worlds, we should consider the possibility that the body has a direct role in knowing”</w:t>
      </w:r>
      <w:r w:rsidRPr="00BB7B9A">
        <w:rPr>
          <w:rFonts w:ascii="Times New Roman" w:eastAsia="바탕" w:hAnsi="Times New Roman" w:cs="Times New Roman" w:hint="eastAsia"/>
          <w:sz w:val="22"/>
        </w:rPr>
        <w:t xml:space="preserve"> (285-286)</w:t>
      </w:r>
      <w:r w:rsidRPr="00BB7B9A">
        <w:rPr>
          <w:rFonts w:ascii="Times New Roman" w:eastAsia="바탕" w:hAnsi="Times New Roman" w:cs="Times New Roman"/>
          <w:sz w:val="22"/>
        </w:rPr>
        <w:t>.</w:t>
      </w:r>
      <w:r w:rsidRPr="00BB7B9A">
        <w:rPr>
          <w:rFonts w:ascii="Times New Roman" w:eastAsia="바탕" w:hAnsi="Times New Roman" w:cs="Times New Roman" w:hint="eastAsia"/>
          <w:sz w:val="22"/>
        </w:rPr>
        <w:t xml:space="preserve">  Featherstone (2006) also argues in the same vein that: </w:t>
      </w:r>
      <w:r w:rsidRPr="00BB7B9A">
        <w:rPr>
          <w:rFonts w:ascii="Times New Roman" w:hAnsi="Times New Roman" w:cs="Times New Roman"/>
          <w:sz w:val="22"/>
        </w:rPr>
        <w:t>“Against the sense of a docile body which can be reflexively monitored, disciplined and altered by the mind</w:t>
      </w:r>
      <w:r w:rsidRPr="00BB7B9A">
        <w:rPr>
          <w:rFonts w:ascii="Times New Roman" w:hAnsi="Times New Roman" w:cs="Times New Roman" w:hint="eastAsia"/>
          <w:sz w:val="22"/>
        </w:rPr>
        <w:t xml:space="preserve">, </w:t>
      </w:r>
      <w:r w:rsidRPr="00BB7B9A">
        <w:rPr>
          <w:rFonts w:ascii="Times New Roman" w:hAnsi="Times New Roman" w:cs="Times New Roman"/>
          <w:sz w:val="22"/>
        </w:rPr>
        <w:t xml:space="preserve">there are those who advocate the investigation of the ways that the mind itself is embodied and delimited by the ‘horizons of the flesh’ ” (233).   For them, the body is no longer conceived of as an object, and rather it is seen as ‘an integral part of the perceiving subject’ (Csordas 1990), ‘the mindful body’ (Scheper-Hughes and Lock 1987), ‘a bearer of social meanings’ (Morgan and Scott 1993), ‘a primary instrument of knowledge,’ and ‘the existential ground of culture’ (Csordas 1993).   The embodiment theorists try to collapse the traditional subject-object dualism by treating a bodily or embodied experience as a primordial human experience, characterized by the absence of duality between mind and body, self and other.  Csordas </w:t>
      </w:r>
      <w:r w:rsidRPr="00BB7B9A">
        <w:rPr>
          <w:rFonts w:ascii="Times New Roman" w:hAnsi="Times New Roman" w:cs="Times New Roman" w:hint="eastAsia"/>
          <w:sz w:val="22"/>
        </w:rPr>
        <w:t xml:space="preserve">(1990) </w:t>
      </w:r>
      <w:r w:rsidRPr="00BB7B9A">
        <w:rPr>
          <w:rFonts w:ascii="Times New Roman" w:hAnsi="Times New Roman" w:cs="Times New Roman"/>
          <w:sz w:val="22"/>
        </w:rPr>
        <w:t xml:space="preserve">writes that “The collapsing of dualities in embodiment requires that the body as a methodological figure must itself be nondualistic, that is, not distinct from or in interaction with an opposed principle of mind” (8).  </w:t>
      </w: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lastRenderedPageBreak/>
        <w:tab/>
        <w:t xml:space="preserve">The embodiment theorists try to collapse the traditional dualism by conflating body and subject.  Since it invokes a body as a knowing subject, not a mysterious ontological realm, the materialist approach appears to be more plausible than the mentalist one in explaining human practices.  However, the embodiment theories are no more satisfactory than the mentalist theories.  As Leder </w:t>
      </w:r>
      <w:r w:rsidRPr="00BB7B9A">
        <w:rPr>
          <w:rFonts w:ascii="Times New Roman" w:hAnsi="Times New Roman" w:cs="Times New Roman" w:hint="eastAsia"/>
          <w:sz w:val="22"/>
        </w:rPr>
        <w:t xml:space="preserve">(2005) </w:t>
      </w:r>
      <w:r w:rsidRPr="00BB7B9A">
        <w:rPr>
          <w:rFonts w:ascii="Times New Roman" w:hAnsi="Times New Roman" w:cs="Times New Roman"/>
          <w:sz w:val="22"/>
        </w:rPr>
        <w:t xml:space="preserve">argues, </w:t>
      </w:r>
    </w:p>
    <w:p w:rsidR="00E87C3B" w:rsidRPr="00BB7B9A" w:rsidRDefault="00E87C3B" w:rsidP="00BB7B9A">
      <w:pPr>
        <w:wordWrap/>
        <w:spacing w:line="360" w:lineRule="auto"/>
        <w:ind w:leftChars="400" w:left="800" w:rightChars="400" w:right="800"/>
        <w:jc w:val="left"/>
        <w:rPr>
          <w:rFonts w:ascii="Times New Roman" w:hAnsi="Times New Roman" w:cs="Times New Roman"/>
          <w:sz w:val="22"/>
        </w:rPr>
      </w:pPr>
    </w:p>
    <w:p w:rsidR="00E87C3B" w:rsidRPr="00BB7B9A" w:rsidRDefault="00E87C3B" w:rsidP="00D1586E">
      <w:pPr>
        <w:wordWrap/>
        <w:ind w:leftChars="400" w:left="800" w:rightChars="400" w:right="800"/>
        <w:jc w:val="left"/>
        <w:rPr>
          <w:rFonts w:ascii="Times New Roman" w:hAnsi="Times New Roman" w:cs="Times New Roman"/>
          <w:sz w:val="22"/>
        </w:rPr>
      </w:pPr>
      <w:r w:rsidRPr="00BB7B9A">
        <w:rPr>
          <w:rFonts w:ascii="Times New Roman" w:hAnsi="Times New Roman" w:cs="Times New Roman"/>
          <w:sz w:val="22"/>
        </w:rPr>
        <w:t>The post-Cartesian ‘idealist’ or ‘materialist’ then takes half of this divided world and tries gamely to subsume all phenomena within it.  The world is naught but pure idea, or, more typically in our materialistic age, mere matter in motion obeying physical laws.  Yet such monisms do not work anymore than their dualistic progenitor.  Each one must deny aspects of the subject-object relationship that gives rise to an experienced world, where intentionality and materiality, perceiving and perceived, are always inextricably int</w:t>
      </w:r>
      <w:r w:rsidR="00AD6277">
        <w:rPr>
          <w:rFonts w:ascii="Times New Roman" w:hAnsi="Times New Roman" w:cs="Times New Roman"/>
          <w:sz w:val="22"/>
        </w:rPr>
        <w:t>ertwined and mutually dependent</w:t>
      </w:r>
      <w:r w:rsidRPr="00BB7B9A">
        <w:rPr>
          <w:rFonts w:ascii="Times New Roman" w:hAnsi="Times New Roman" w:cs="Times New Roman"/>
          <w:sz w:val="22"/>
        </w:rPr>
        <w:t xml:space="preserve">. </w:t>
      </w:r>
    </w:p>
    <w:p w:rsidR="00E87C3B" w:rsidRPr="00BB7B9A" w:rsidRDefault="00E87C3B" w:rsidP="00BB7B9A">
      <w:pPr>
        <w:wordWrap/>
        <w:spacing w:line="360" w:lineRule="auto"/>
        <w:jc w:val="left"/>
        <w:rPr>
          <w:rFonts w:ascii="Times New Roman" w:hAnsi="Times New Roman" w:cs="Times New Roman"/>
          <w:sz w:val="22"/>
        </w:rPr>
      </w:pP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 xml:space="preserve">Orsi (2005), along with others, seems to assume that the bodily experience is more concrete.   If we understand the bodily experience vis-à-vis cognitive experience, in what sense is the bodily experience more concrete?  Can we specify the process, either mental or corporal, that makes the sacred experience more concrete?  Orsi (2005) argues that bodily apprehensions or a body awareness that can operate below the level of consciousness bears the concreteness of experiences.   </w:t>
      </w:r>
    </w:p>
    <w:p w:rsidR="00E87C3B" w:rsidRPr="00BB7B9A" w:rsidRDefault="00E87C3B" w:rsidP="00BB7B9A">
      <w:pPr>
        <w:wordWrap/>
        <w:spacing w:line="360" w:lineRule="auto"/>
        <w:ind w:leftChars="400" w:left="800" w:rightChars="400" w:right="800"/>
        <w:jc w:val="left"/>
        <w:rPr>
          <w:rFonts w:ascii="Times New Roman" w:hAnsi="Times New Roman" w:cs="Times New Roman"/>
          <w:sz w:val="22"/>
        </w:rPr>
      </w:pPr>
    </w:p>
    <w:p w:rsidR="00E87C3B" w:rsidRPr="00BB7B9A" w:rsidRDefault="00E87C3B" w:rsidP="00D1586E">
      <w:pPr>
        <w:wordWrap/>
        <w:ind w:leftChars="400" w:left="800" w:rightChars="400" w:right="800"/>
        <w:jc w:val="left"/>
        <w:rPr>
          <w:rFonts w:ascii="Times New Roman" w:hAnsi="Times New Roman" w:cs="Times New Roman"/>
          <w:sz w:val="22"/>
        </w:rPr>
      </w:pPr>
      <w:r w:rsidRPr="00BB7B9A">
        <w:rPr>
          <w:rFonts w:ascii="Times New Roman" w:hAnsi="Times New Roman" w:cs="Times New Roman"/>
          <w:sz w:val="22"/>
        </w:rPr>
        <w:t xml:space="preserve">Bodily apprehensions are not always conscious, but they are real.  Catholic reality took hold of children’s bodies, was embodied in children’s bodies, whether they knew it or not, and their bodies bore the realness of this world, at the same time that children took hold of the world in the idioms given them by their teachers and parents (107). </w:t>
      </w:r>
    </w:p>
    <w:p w:rsidR="00E87C3B" w:rsidRPr="00BB7B9A" w:rsidRDefault="00E87C3B" w:rsidP="00BB7B9A">
      <w:pPr>
        <w:wordWrap/>
        <w:spacing w:line="360" w:lineRule="auto"/>
        <w:jc w:val="left"/>
        <w:rPr>
          <w:rFonts w:ascii="Times New Roman" w:hAnsi="Times New Roman" w:cs="Times New Roman"/>
          <w:sz w:val="22"/>
        </w:rPr>
      </w:pP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 xml:space="preserve">In order for the embodiment theories to be plausible, however, the plausible answers must be given to the question of what it means by ‘bodily awareness,’ ‘bodily experience,’ and ‘bodily knowing.’   Lawrence E. Sullivan (1990) gathers the epistemological questions with which studies about the body should concern.   </w:t>
      </w:r>
    </w:p>
    <w:p w:rsidR="00E87C3B" w:rsidRPr="00BB7B9A" w:rsidRDefault="00E87C3B" w:rsidP="00BB7B9A">
      <w:pPr>
        <w:wordWrap/>
        <w:spacing w:line="360" w:lineRule="auto"/>
        <w:ind w:leftChars="400" w:left="800" w:rightChars="400" w:right="800"/>
        <w:jc w:val="left"/>
        <w:rPr>
          <w:rFonts w:ascii="Times New Roman" w:hAnsi="Times New Roman" w:cs="Times New Roman"/>
          <w:sz w:val="22"/>
        </w:rPr>
      </w:pPr>
    </w:p>
    <w:p w:rsidR="00E87C3B" w:rsidRPr="00BB7B9A" w:rsidRDefault="00E87C3B" w:rsidP="00D1586E">
      <w:pPr>
        <w:wordWrap/>
        <w:ind w:leftChars="400" w:left="800" w:rightChars="400" w:right="800"/>
        <w:jc w:val="left"/>
        <w:rPr>
          <w:rFonts w:ascii="Times New Roman" w:hAnsi="Times New Roman" w:cs="Times New Roman"/>
          <w:sz w:val="22"/>
        </w:rPr>
      </w:pPr>
      <w:r w:rsidRPr="00BB7B9A">
        <w:rPr>
          <w:rFonts w:ascii="Times New Roman" w:hAnsi="Times New Roman" w:cs="Times New Roman"/>
          <w:sz w:val="22"/>
        </w:rPr>
        <w:t xml:space="preserve">“What precisely is it that the body knows?  What kind of knowledge is bodily knowledge?  Is bodily knowledge cognitively valuable?  Is it critical knowledge?  In what way are bodily knowledge and scientific knowledge of the body (or of anything else, for that matter) related?  </w:t>
      </w:r>
    </w:p>
    <w:p w:rsidR="00E87C3B" w:rsidRPr="00BB7B9A" w:rsidRDefault="00E87C3B" w:rsidP="00D1586E">
      <w:pPr>
        <w:wordWrap/>
        <w:ind w:leftChars="400" w:left="800" w:rightChars="400" w:right="800" w:firstLine="640"/>
        <w:jc w:val="left"/>
        <w:rPr>
          <w:rFonts w:ascii="Times New Roman" w:hAnsi="Times New Roman" w:cs="Times New Roman"/>
          <w:sz w:val="22"/>
        </w:rPr>
      </w:pPr>
      <w:r w:rsidRPr="00BB7B9A">
        <w:rPr>
          <w:rFonts w:ascii="Times New Roman" w:hAnsi="Times New Roman" w:cs="Times New Roman"/>
          <w:sz w:val="22"/>
        </w:rPr>
        <w:t xml:space="preserve">How will we come to know, in a discursive, conceptual way, the knowledge of the body?  Can we know without remainder, in this discursive way, what the body knows?  Is the knowledge that remains untranslatable into our discursive, scientific languages, important knowledge?  If it is important, how may it be gathered into our experience for edification and for evaluation?  </w:t>
      </w:r>
    </w:p>
    <w:p w:rsidR="00E87C3B" w:rsidRPr="00BB7B9A" w:rsidRDefault="00E87C3B" w:rsidP="00BB7B9A">
      <w:pPr>
        <w:wordWrap/>
        <w:spacing w:line="360" w:lineRule="auto"/>
        <w:jc w:val="left"/>
        <w:rPr>
          <w:rFonts w:ascii="Times New Roman" w:hAnsi="Times New Roman" w:cs="Times New Roman"/>
          <w:sz w:val="22"/>
        </w:rPr>
      </w:pPr>
    </w:p>
    <w:p w:rsidR="00E87C3B" w:rsidRPr="00BB7B9A" w:rsidRDefault="00E87C3B" w:rsidP="00D1586E">
      <w:pPr>
        <w:wordWrap/>
        <w:ind w:leftChars="400" w:left="800" w:rightChars="400" w:right="800"/>
        <w:jc w:val="left"/>
        <w:rPr>
          <w:rFonts w:ascii="Times New Roman" w:hAnsi="Times New Roman" w:cs="Times New Roman"/>
          <w:sz w:val="22"/>
        </w:rPr>
      </w:pPr>
      <w:r w:rsidRPr="00BB7B9A">
        <w:rPr>
          <w:rFonts w:ascii="Times New Roman" w:hAnsi="Times New Roman" w:cs="Times New Roman"/>
          <w:sz w:val="22"/>
        </w:rPr>
        <w:t xml:space="preserve">How would we </w:t>
      </w:r>
      <w:r w:rsidRPr="00BB7B9A">
        <w:rPr>
          <w:rFonts w:ascii="Times New Roman" w:hAnsi="Times New Roman" w:cs="Times New Roman"/>
          <w:i/>
          <w:sz w:val="22"/>
        </w:rPr>
        <w:t>know</w:t>
      </w:r>
      <w:r w:rsidRPr="00BB7B9A">
        <w:rPr>
          <w:rFonts w:ascii="Times New Roman" w:hAnsi="Times New Roman" w:cs="Times New Roman"/>
          <w:sz w:val="22"/>
        </w:rPr>
        <w:t xml:space="preserve"> that we know what the body knows?  Could any certain and valid knowledge of bodily knowing - that is, could any cognitively valuable knowledge of either the process or contents of bodily knowing - be anything other than a form of bodily knowledge itself?  (86). </w:t>
      </w:r>
    </w:p>
    <w:p w:rsidR="00E87C3B" w:rsidRPr="00BB7B9A" w:rsidRDefault="00E87C3B" w:rsidP="00BB7B9A">
      <w:pPr>
        <w:wordWrap/>
        <w:spacing w:line="360" w:lineRule="auto"/>
        <w:jc w:val="left"/>
        <w:rPr>
          <w:rFonts w:ascii="Times New Roman" w:hAnsi="Times New Roman" w:cs="Times New Roman"/>
          <w:sz w:val="22"/>
        </w:rPr>
      </w:pP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 xml:space="preserve">These epistemological questions must be troublesome for most sociologists and anthropologists.  If we have a clear view of how the body knows and if we can identify the perceiving mechanism of the body, we would be able to advance </w:t>
      </w:r>
      <w:r w:rsidRPr="00BB7B9A">
        <w:rPr>
          <w:rFonts w:ascii="Times New Roman" w:hAnsi="Times New Roman" w:cs="Times New Roman" w:hint="eastAsia"/>
          <w:sz w:val="22"/>
        </w:rPr>
        <w:t xml:space="preserve">a </w:t>
      </w:r>
      <w:r w:rsidRPr="00BB7B9A">
        <w:rPr>
          <w:rFonts w:ascii="Times New Roman" w:hAnsi="Times New Roman" w:cs="Times New Roman"/>
          <w:sz w:val="22"/>
        </w:rPr>
        <w:t>valid knowledge of bodily knowing.   Such a hope leads many sociologists to turn their attention to the natural sciences such as physiology and biology.   For example, Morgan and Scott’</w:t>
      </w:r>
      <w:r w:rsidRPr="00BB7B9A">
        <w:rPr>
          <w:rFonts w:ascii="Times New Roman" w:hAnsi="Times New Roman" w:cs="Times New Roman" w:hint="eastAsia"/>
          <w:sz w:val="22"/>
        </w:rPr>
        <w:t>s</w:t>
      </w:r>
      <w:r w:rsidRPr="00BB7B9A">
        <w:rPr>
          <w:rFonts w:ascii="Times New Roman" w:hAnsi="Times New Roman" w:cs="Times New Roman"/>
          <w:sz w:val="22"/>
        </w:rPr>
        <w:t xml:space="preserve"> (1993) notion of ‘bodily informed sociology’ suggests that “what sociology must do is to open up the biological/natural package and insert history and culture, in order to develop an understanding of the relationship between the social and biological as one of practical relevance rather than causation” (6).  Freund (1988) argues that social scientists who wish to analyze the body from a sociological perspective need to consider a ‘physiology of bodily regulation.’  “It is relevant to the social scientist’s need to understand the neurohormonal, muscular, respiratory, and other physical consequences of social control and how these in turn affect social behavior (842-843).   It is assumed that our social existence is linked to our bodies through the physiological systems such as muscular, neuro-hormonal, cardiovascular, and respiratory systems.  Therefore, there is a mutual conditioning relation between socio-psychological factor and biological factor.  For him, “social environments ‘construct’ bodies, which in turn have an impact on social behavior, and this behavior in turn further modifies bodies” (849).  Bruun and Langlais (2003) also suggest that “action is </w:t>
      </w:r>
      <w:r w:rsidRPr="00BB7B9A">
        <w:rPr>
          <w:rFonts w:ascii="Times New Roman" w:hAnsi="Times New Roman" w:cs="Times New Roman"/>
          <w:i/>
          <w:sz w:val="22"/>
        </w:rPr>
        <w:t>embodied</w:t>
      </w:r>
      <w:r w:rsidRPr="00BB7B9A">
        <w:rPr>
          <w:rFonts w:ascii="Times New Roman" w:hAnsi="Times New Roman" w:cs="Times New Roman"/>
          <w:sz w:val="22"/>
        </w:rPr>
        <w:t xml:space="preserve"> in the sense that certain physiological processes are internal in relation to it, they play a constitutive role for its performance (45).  Quite recently, Featherstone (2006) tries to explain the body’s knowing mechanism with the concept of ‘proprioception.’  It refers to “not tactile or visceral sensibility, but the sensibility which relates to muscles and ligaments, which register conditions of movements and translate the body’s encounters with objects into a muscular memory of relationality, a cumulative memory of skill, habit and posture” (234).  </w:t>
      </w: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ab/>
        <w:t xml:space="preserve">The root idea inherent in these arguments is the assumption that </w:t>
      </w:r>
      <w:r w:rsidRPr="00BB7B9A">
        <w:rPr>
          <w:rFonts w:ascii="Times New Roman" w:hAnsi="Times New Roman" w:cs="Times New Roman" w:hint="eastAsia"/>
          <w:sz w:val="22"/>
        </w:rPr>
        <w:t xml:space="preserve">the </w:t>
      </w:r>
      <w:r w:rsidRPr="00BB7B9A">
        <w:rPr>
          <w:rFonts w:ascii="Times New Roman" w:hAnsi="Times New Roman" w:cs="Times New Roman"/>
          <w:sz w:val="22"/>
        </w:rPr>
        <w:t xml:space="preserve">socio-psychological factor and the physio-biological factor are </w:t>
      </w:r>
      <w:r w:rsidRPr="00BB7B9A">
        <w:rPr>
          <w:rFonts w:ascii="Times New Roman" w:hAnsi="Times New Roman" w:cs="Times New Roman"/>
          <w:i/>
          <w:sz w:val="22"/>
        </w:rPr>
        <w:t>somehow</w:t>
      </w:r>
      <w:r w:rsidRPr="00BB7B9A">
        <w:rPr>
          <w:rFonts w:ascii="Times New Roman" w:hAnsi="Times New Roman" w:cs="Times New Roman"/>
          <w:sz w:val="22"/>
        </w:rPr>
        <w:t xml:space="preserve"> closely related with each other.   However, such an assumption contains a serious conceptual error.  In his criticism of the mind-brain identity thesis, Coulter (1979b) argues that “whatever it is that brains do, they do not recognize anything nor do they think of, about, or that anything, although they may enable </w:t>
      </w:r>
      <w:r w:rsidRPr="00BB7B9A">
        <w:rPr>
          <w:rFonts w:ascii="Times New Roman" w:hAnsi="Times New Roman" w:cs="Times New Roman"/>
          <w:i/>
          <w:sz w:val="22"/>
        </w:rPr>
        <w:t>persons</w:t>
      </w:r>
      <w:r w:rsidRPr="00BB7B9A">
        <w:rPr>
          <w:rFonts w:ascii="Times New Roman" w:hAnsi="Times New Roman" w:cs="Times New Roman"/>
          <w:sz w:val="22"/>
        </w:rPr>
        <w:t xml:space="preserve"> to do these things” (335).   The mind-brain identity thesis presupposes that some types (or kinds, or classes) of mental states are literally identical with some types (or kinds, or classes) of brain states.  According to this thesis, mental events (e.g. pains) are identical, perhaps contingently, with specific physical events in the brain (e.g., C-fiber firing).  Coulter (1979</w:t>
      </w:r>
      <w:r w:rsidRPr="00BB7B9A">
        <w:rPr>
          <w:rFonts w:ascii="Times New Roman" w:hAnsi="Times New Roman" w:cs="Times New Roman" w:hint="eastAsia"/>
          <w:sz w:val="22"/>
        </w:rPr>
        <w:t>b</w:t>
      </w:r>
      <w:r w:rsidRPr="00BB7B9A">
        <w:rPr>
          <w:rFonts w:ascii="Times New Roman" w:hAnsi="Times New Roman" w:cs="Times New Roman"/>
          <w:sz w:val="22"/>
        </w:rPr>
        <w:t xml:space="preserve">) points out that the mind-brain identity thesis rests upon deeply embedded categorical errors, and argues that we should cease to conceive of the brain as an agent in its own right.  </w:t>
      </w:r>
    </w:p>
    <w:p w:rsidR="00E87C3B" w:rsidRPr="00BB7B9A" w:rsidRDefault="00E87C3B" w:rsidP="00BB7B9A">
      <w:pPr>
        <w:wordWrap/>
        <w:spacing w:line="360" w:lineRule="auto"/>
        <w:ind w:firstLine="720"/>
        <w:jc w:val="left"/>
        <w:rPr>
          <w:rFonts w:ascii="Times New Roman" w:hAnsi="Times New Roman" w:cs="Times New Roman"/>
          <w:sz w:val="22"/>
        </w:rPr>
      </w:pPr>
      <w:r w:rsidRPr="00BB7B9A">
        <w:rPr>
          <w:rFonts w:ascii="Times New Roman" w:hAnsi="Times New Roman" w:cs="Times New Roman"/>
          <w:sz w:val="22"/>
        </w:rPr>
        <w:t xml:space="preserve">The fundamentally important lesson from Wittgenstein’s later philosophy is that a human being cannot be identified with a body, but </w:t>
      </w:r>
      <w:r w:rsidRPr="00BB7B9A">
        <w:rPr>
          <w:rFonts w:ascii="Times New Roman" w:hAnsi="Times New Roman" w:cs="Times New Roman"/>
          <w:i/>
          <w:sz w:val="22"/>
        </w:rPr>
        <w:t>has</w:t>
      </w:r>
      <w:r w:rsidRPr="00BB7B9A">
        <w:rPr>
          <w:rFonts w:ascii="Times New Roman" w:hAnsi="Times New Roman" w:cs="Times New Roman"/>
          <w:sz w:val="22"/>
        </w:rPr>
        <w:t xml:space="preserve"> a body.  “A human being or person is neither a Cartesian soul nor a body, not a composite of the two, but a distinct type of thing to which both </w:t>
      </w:r>
      <w:r w:rsidRPr="00BB7B9A">
        <w:rPr>
          <w:rFonts w:ascii="Times New Roman" w:hAnsi="Times New Roman" w:cs="Times New Roman"/>
          <w:sz w:val="22"/>
        </w:rPr>
        <w:lastRenderedPageBreak/>
        <w:t xml:space="preserve">physical and mental predicates apply, and which can be said to have rather than be a body” (Glock 1996, 157).   Recall the critical </w:t>
      </w:r>
      <w:r w:rsidRPr="00BB7B9A">
        <w:rPr>
          <w:rFonts w:ascii="Times New Roman" w:hAnsi="Times New Roman" w:cs="Times New Roman"/>
          <w:i/>
          <w:sz w:val="22"/>
        </w:rPr>
        <w:t>distinctions</w:t>
      </w:r>
      <w:r w:rsidRPr="00BB7B9A">
        <w:rPr>
          <w:rFonts w:ascii="Times New Roman" w:hAnsi="Times New Roman" w:cs="Times New Roman"/>
          <w:sz w:val="22"/>
        </w:rPr>
        <w:t xml:space="preserve"> between descriptions of a human body’s </w:t>
      </w:r>
      <w:r w:rsidRPr="00BB7B9A">
        <w:rPr>
          <w:rFonts w:ascii="Times New Roman" w:hAnsi="Times New Roman" w:cs="Times New Roman"/>
          <w:i/>
          <w:sz w:val="22"/>
        </w:rPr>
        <w:t>movements</w:t>
      </w:r>
      <w:r w:rsidRPr="00BB7B9A">
        <w:rPr>
          <w:rFonts w:ascii="Times New Roman" w:hAnsi="Times New Roman" w:cs="Times New Roman"/>
          <w:sz w:val="22"/>
        </w:rPr>
        <w:t xml:space="preserve">, descriptions of a person moving (parts of) his body, and descriptions of what a person is </w:t>
      </w:r>
      <w:r w:rsidRPr="00BB7B9A">
        <w:rPr>
          <w:rFonts w:ascii="Times New Roman" w:hAnsi="Times New Roman" w:cs="Times New Roman"/>
          <w:i/>
          <w:sz w:val="22"/>
        </w:rPr>
        <w:t>doing</w:t>
      </w:r>
      <w:r w:rsidRPr="00BB7B9A">
        <w:rPr>
          <w:rFonts w:ascii="Times New Roman" w:hAnsi="Times New Roman" w:cs="Times New Roman"/>
          <w:sz w:val="22"/>
        </w:rPr>
        <w:t xml:space="preserve">, what </w:t>
      </w:r>
      <w:r w:rsidRPr="00BB7B9A">
        <w:rPr>
          <w:rFonts w:ascii="Times New Roman" w:hAnsi="Times New Roman" w:cs="Times New Roman"/>
          <w:i/>
          <w:sz w:val="22"/>
        </w:rPr>
        <w:t>activity</w:t>
      </w:r>
      <w:r w:rsidRPr="00BB7B9A">
        <w:rPr>
          <w:rFonts w:ascii="Times New Roman" w:hAnsi="Times New Roman" w:cs="Times New Roman"/>
          <w:sz w:val="22"/>
        </w:rPr>
        <w:t xml:space="preserve"> he is engaged in (Coulter 1993, 127).   We cannot substitute ‘</w:t>
      </w:r>
      <w:r w:rsidRPr="00BB7B9A">
        <w:rPr>
          <w:rFonts w:ascii="Times New Roman" w:hAnsi="Times New Roman" w:cs="Times New Roman"/>
          <w:i/>
          <w:sz w:val="22"/>
        </w:rPr>
        <w:t>I</w:t>
      </w:r>
      <w:r w:rsidRPr="00BB7B9A">
        <w:rPr>
          <w:rFonts w:ascii="Times New Roman" w:hAnsi="Times New Roman" w:cs="Times New Roman"/>
          <w:sz w:val="22"/>
        </w:rPr>
        <w:t xml:space="preserve"> am in pain’ for ‘my C-fibres are firing.’  Two events belong to different categories respectively.   The characterization of a person’s body and the characterization of the person are not interchangeable.   For Wittgenstein, mental phenomena such as understanding, believing, intending and meaning something are categorically distinct from events, processes and states in the neuro-systems of brain</w:t>
      </w:r>
      <w:r w:rsidRPr="00BB7B9A">
        <w:rPr>
          <w:rFonts w:ascii="Times New Roman" w:hAnsi="Times New Roman" w:cs="Times New Roman" w:hint="eastAsia"/>
          <w:sz w:val="22"/>
        </w:rPr>
        <w:t>s</w:t>
      </w:r>
      <w:r w:rsidRPr="00BB7B9A">
        <w:rPr>
          <w:rFonts w:ascii="Times New Roman" w:hAnsi="Times New Roman" w:cs="Times New Roman"/>
          <w:sz w:val="22"/>
        </w:rPr>
        <w:t>.</w:t>
      </w:r>
      <w:r w:rsidR="00212519">
        <w:rPr>
          <w:rFonts w:ascii="Times New Roman" w:hAnsi="Times New Roman" w:cs="Times New Roman" w:hint="eastAsia"/>
          <w:sz w:val="22"/>
        </w:rPr>
        <w:t xml:space="preserve"> </w:t>
      </w:r>
      <w:r w:rsidRPr="00BB7B9A">
        <w:rPr>
          <w:rFonts w:ascii="Times New Roman" w:hAnsi="Times New Roman" w:cs="Times New Roman"/>
          <w:sz w:val="22"/>
        </w:rPr>
        <w:t xml:space="preserve"> To infuse two different categories into one is to commit a categorical error.  Therefore, this consideration rules out the materialist alternative to traditional dualism since it falsely biologizes it as an occurrence in the nervous system rather than an occasional, conscious and constructive undertaking on the part of persons (Coulter 1979a, 48).  Anyone who wants to overcome the dichotomous outlook has to raise a question about the dualistic mode of thought itself.  Therefore, it is also problematic to take one or </w:t>
      </w:r>
      <w:r w:rsidRPr="00BB7B9A">
        <w:rPr>
          <w:rFonts w:ascii="Times New Roman" w:hAnsi="Times New Roman" w:cs="Times New Roman" w:hint="eastAsia"/>
          <w:sz w:val="22"/>
        </w:rPr>
        <w:t>an</w:t>
      </w:r>
      <w:r w:rsidRPr="00BB7B9A">
        <w:rPr>
          <w:rFonts w:ascii="Times New Roman" w:hAnsi="Times New Roman" w:cs="Times New Roman"/>
          <w:sz w:val="22"/>
        </w:rPr>
        <w:t xml:space="preserve">other side of the dualism and to grant it metaphysical hegemony.   </w:t>
      </w: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ab/>
        <w:t xml:space="preserve">The embodiment theories have the same problem since they also try to conflate two distinct categories into one.  In their attempt to collapse the dualism, there is no criticism of the dualistic mode of thought itself.  They only take one side (body) of the dualism and bestow it </w:t>
      </w:r>
      <w:r w:rsidRPr="00BB7B9A">
        <w:rPr>
          <w:rFonts w:ascii="Times New Roman" w:hAnsi="Times New Roman" w:cs="Times New Roman" w:hint="eastAsia"/>
          <w:sz w:val="22"/>
        </w:rPr>
        <w:t>an</w:t>
      </w:r>
      <w:r w:rsidRPr="00BB7B9A">
        <w:rPr>
          <w:rFonts w:ascii="Times New Roman" w:hAnsi="Times New Roman" w:cs="Times New Roman"/>
          <w:sz w:val="22"/>
        </w:rPr>
        <w:t xml:space="preserve"> epistemologically sovereign status (body as knowing subject).   However, the description of a person’s body is not a more exact or concrete or ‘scientific’ depiction of a person’s doing.  They are wholly different descriptions from each other. </w:t>
      </w:r>
      <w:r w:rsidR="00212519">
        <w:rPr>
          <w:rFonts w:ascii="Times New Roman" w:hAnsi="Times New Roman" w:cs="Times New Roman" w:hint="eastAsia"/>
          <w:sz w:val="22"/>
        </w:rPr>
        <w:t xml:space="preserve"> </w:t>
      </w:r>
      <w:r w:rsidRPr="00BB7B9A">
        <w:rPr>
          <w:rFonts w:ascii="Times New Roman" w:hAnsi="Times New Roman" w:cs="Times New Roman"/>
          <w:sz w:val="22"/>
        </w:rPr>
        <w:t xml:space="preserve">This consideration raises a question about the embodiment theorists’ claim of the </w:t>
      </w:r>
      <w:r w:rsidRPr="00BB7B9A">
        <w:rPr>
          <w:rFonts w:ascii="Times New Roman" w:hAnsi="Times New Roman" w:cs="Times New Roman"/>
          <w:i/>
          <w:sz w:val="22"/>
        </w:rPr>
        <w:t>concreteness</w:t>
      </w:r>
      <w:r w:rsidRPr="00BB7B9A">
        <w:rPr>
          <w:rFonts w:ascii="Times New Roman" w:hAnsi="Times New Roman" w:cs="Times New Roman"/>
          <w:sz w:val="22"/>
        </w:rPr>
        <w:t xml:space="preserve"> of the bodily experience.  Orsi (2005) writes about what he means by ‘concrete experience’ of the sacred as follows</w:t>
      </w:r>
      <w:r w:rsidRPr="00BB7B9A">
        <w:rPr>
          <w:rFonts w:ascii="Times New Roman" w:hAnsi="Times New Roman" w:cs="Times New Roman" w:hint="eastAsia"/>
          <w:sz w:val="22"/>
        </w:rPr>
        <w:t>:</w:t>
      </w:r>
      <w:r w:rsidRPr="00BB7B9A">
        <w:rPr>
          <w:rFonts w:ascii="Times New Roman" w:hAnsi="Times New Roman" w:cs="Times New Roman"/>
          <w:sz w:val="22"/>
        </w:rPr>
        <w:t xml:space="preserve">  </w:t>
      </w:r>
    </w:p>
    <w:p w:rsidR="00E87C3B" w:rsidRPr="00BB7B9A" w:rsidRDefault="00E87C3B" w:rsidP="00BB7B9A">
      <w:pPr>
        <w:wordWrap/>
        <w:spacing w:line="360" w:lineRule="auto"/>
        <w:ind w:leftChars="400" w:left="800" w:rightChars="400" w:right="800"/>
        <w:jc w:val="left"/>
        <w:rPr>
          <w:rFonts w:ascii="Times New Roman" w:hAnsi="Times New Roman" w:cs="Times New Roman"/>
          <w:sz w:val="22"/>
        </w:rPr>
      </w:pPr>
    </w:p>
    <w:p w:rsidR="00E87C3B" w:rsidRPr="00BB7B9A" w:rsidRDefault="00E87C3B" w:rsidP="005D3395">
      <w:pPr>
        <w:wordWrap/>
        <w:ind w:leftChars="400" w:left="800" w:rightChars="400" w:right="800"/>
        <w:jc w:val="left"/>
        <w:rPr>
          <w:rFonts w:ascii="Times New Roman" w:hAnsi="Times New Roman" w:cs="Times New Roman"/>
          <w:sz w:val="22"/>
        </w:rPr>
      </w:pPr>
      <w:r w:rsidRPr="00BB7B9A">
        <w:rPr>
          <w:rFonts w:ascii="Times New Roman" w:hAnsi="Times New Roman" w:cs="Times New Roman"/>
          <w:sz w:val="22"/>
        </w:rPr>
        <w:t xml:space="preserve">Sister’s ambitions become especially clear in her discussion of how to treat time.  Children live in an endless present, she says; the notion of time’s passing has very little meaning for them.  This cognitive limitation creates a special problem when it comes to Advent, a season of anticipation that requires some notion of time.  Otherwise, how can a child look forward to Jesus’ birth?  The challenge, as Sister construes it, is to materialize time: she recommends that parents draw a vertical line across each day of a special calendar to signify that a child has said his or her morning prayer, a horizontal line for evening prayer, and in this way “each day as it passes will…be marked with the cross…and time will come to have a real meaning” to the child.  Invisible minutes and hours acquire a solidity borrowed from the corporal experience of children, who before they know how to tell time will have know time’s moral and cosmic significance in their bodies, in their praying limbs. </w:t>
      </w:r>
    </w:p>
    <w:p w:rsidR="00E87C3B" w:rsidRPr="00BB7B9A" w:rsidRDefault="00E87C3B" w:rsidP="005D3395">
      <w:pPr>
        <w:wordWrap/>
        <w:ind w:leftChars="400" w:left="800" w:rightChars="400" w:right="800"/>
        <w:jc w:val="left"/>
        <w:rPr>
          <w:rFonts w:ascii="Times New Roman" w:hAnsi="Times New Roman" w:cs="Times New Roman"/>
          <w:sz w:val="22"/>
        </w:rPr>
      </w:pPr>
      <w:r w:rsidRPr="00BB7B9A">
        <w:rPr>
          <w:rFonts w:ascii="Times New Roman" w:hAnsi="Times New Roman" w:cs="Times New Roman"/>
          <w:sz w:val="22"/>
        </w:rPr>
        <w:tab/>
        <w:t xml:space="preserve">This is what Sister and I mean by “concrete experience” of the sacred (76). </w:t>
      </w:r>
    </w:p>
    <w:p w:rsidR="00E87C3B" w:rsidRPr="00BB7B9A" w:rsidRDefault="00E87C3B" w:rsidP="00BB7B9A">
      <w:pPr>
        <w:wordWrap/>
        <w:spacing w:line="360" w:lineRule="auto"/>
        <w:jc w:val="left"/>
        <w:rPr>
          <w:rFonts w:ascii="Times New Roman" w:hAnsi="Times New Roman" w:cs="Times New Roman"/>
          <w:sz w:val="22"/>
        </w:rPr>
      </w:pP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 xml:space="preserve">It is not accidental that Orsi chooses the case of children’s religious practice in order to explain the materialization of the sacred.   He assumes that the body awareness can operate below the level of consciousness (the possibility of non-cognitive knowing), despite </w:t>
      </w:r>
      <w:r w:rsidRPr="00BB7B9A">
        <w:rPr>
          <w:rFonts w:ascii="Times New Roman" w:hAnsi="Times New Roman" w:cs="Times New Roman" w:hint="eastAsia"/>
          <w:sz w:val="22"/>
        </w:rPr>
        <w:t xml:space="preserve">the fact that </w:t>
      </w:r>
      <w:r w:rsidRPr="00BB7B9A">
        <w:rPr>
          <w:rFonts w:ascii="Times New Roman" w:hAnsi="Times New Roman" w:cs="Times New Roman"/>
          <w:sz w:val="22"/>
        </w:rPr>
        <w:t xml:space="preserve">he cannot specify or defend how this might work.  He also assumes that if he can show that a child who does not have the </w:t>
      </w:r>
      <w:r w:rsidRPr="00BB7B9A">
        <w:rPr>
          <w:rFonts w:ascii="Times New Roman" w:hAnsi="Times New Roman" w:cs="Times New Roman"/>
          <w:sz w:val="22"/>
        </w:rPr>
        <w:lastRenderedPageBreak/>
        <w:t xml:space="preserve">cognitive notion of time comes to have a meaning of time he will succeed to verify the knowing process operating below the level of consciousness, which is a body awareness.  However, he does not have anything to say about this bodily knowing.  Only he claims that a child has a corporal experience and knows the significance of time in his or her body.  If the mechanism of a body awareness or bodily apprehending can neither be specified nor defended, how can we call children’s corporal experiences more concrete?  Do we have to wait until this process is fully identified by physiologists, biologists or neuro-scientists?   </w:t>
      </w:r>
    </w:p>
    <w:p w:rsidR="00E87C3B" w:rsidRPr="00BB7B9A" w:rsidRDefault="00E87C3B" w:rsidP="00BB7B9A">
      <w:pPr>
        <w:wordWrap/>
        <w:spacing w:line="360" w:lineRule="auto"/>
        <w:ind w:firstLine="720"/>
        <w:jc w:val="left"/>
        <w:rPr>
          <w:rFonts w:ascii="Times New Roman" w:hAnsi="Times New Roman" w:cs="Times New Roman"/>
          <w:sz w:val="22"/>
        </w:rPr>
      </w:pPr>
      <w:r w:rsidRPr="00BB7B9A">
        <w:rPr>
          <w:rFonts w:ascii="Times New Roman" w:hAnsi="Times New Roman" w:cs="Times New Roman"/>
          <w:sz w:val="22"/>
        </w:rPr>
        <w:t xml:space="preserve">Orsi’s description is indeed a great illustration of ‘teaching links’ between an adult and a child.   Before the Advent comes, a parent and a child play a prayer language-game and a calendar-marking language game.  Through this practice, a child learns ‘to whom to pray,’ ‘how to pray,’ ‘how to tell a time and a day,’ etc.  A child learns not only a meaning of prayer, but also a right way of praying, i.e., rules of prayer (e.g. do not curse unfriendly friends in prayer).  An adult may use this teaching link to teach the significance of moral behavior (e.g. to help others), telling the soteriological purpose of Jesus’ coming.  So, a child learns what is good or bad morally in practice with an adult.   </w:t>
      </w: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 xml:space="preserve">However, this learning does not have to be occurring in </w:t>
      </w:r>
      <w:r w:rsidRPr="00BB7B9A">
        <w:rPr>
          <w:rFonts w:ascii="Times New Roman" w:hAnsi="Times New Roman" w:cs="Times New Roman" w:hint="eastAsia"/>
          <w:sz w:val="22"/>
        </w:rPr>
        <w:t xml:space="preserve">a </w:t>
      </w:r>
      <w:r w:rsidRPr="00BB7B9A">
        <w:rPr>
          <w:rFonts w:ascii="Times New Roman" w:hAnsi="Times New Roman" w:cs="Times New Roman"/>
          <w:sz w:val="22"/>
        </w:rPr>
        <w:t xml:space="preserve">child’s body.  That is to say, this way of knowing has nothing to do with the bodily apprehending.  A child’s body does not learn anything from an adult.  When we experience something, we experience as a </w:t>
      </w:r>
      <w:r w:rsidRPr="00BB7B9A">
        <w:rPr>
          <w:rFonts w:ascii="Times New Roman" w:hAnsi="Times New Roman" w:cs="Times New Roman"/>
          <w:i/>
          <w:sz w:val="22"/>
        </w:rPr>
        <w:t>person</w:t>
      </w:r>
      <w:r w:rsidRPr="00BB7B9A">
        <w:rPr>
          <w:rFonts w:ascii="Times New Roman" w:hAnsi="Times New Roman" w:cs="Times New Roman"/>
          <w:sz w:val="22"/>
        </w:rPr>
        <w:t xml:space="preserve">.  It is not </w:t>
      </w:r>
      <w:r w:rsidRPr="00BB7B9A">
        <w:rPr>
          <w:rFonts w:ascii="Times New Roman" w:hAnsi="Times New Roman" w:cs="Times New Roman" w:hint="eastAsia"/>
          <w:sz w:val="22"/>
        </w:rPr>
        <w:t xml:space="preserve">that </w:t>
      </w:r>
      <w:r w:rsidRPr="00BB7B9A">
        <w:rPr>
          <w:rFonts w:ascii="Times New Roman" w:hAnsi="Times New Roman" w:cs="Times New Roman"/>
          <w:sz w:val="22"/>
        </w:rPr>
        <w:t>a body</w:t>
      </w:r>
      <w:r w:rsidRPr="00BB7B9A">
        <w:rPr>
          <w:rFonts w:ascii="Times New Roman" w:hAnsi="Times New Roman" w:cs="Times New Roman" w:hint="eastAsia"/>
          <w:sz w:val="22"/>
        </w:rPr>
        <w:t xml:space="preserve">, or a part of our body, </w:t>
      </w:r>
      <w:r w:rsidRPr="00BB7B9A">
        <w:rPr>
          <w:rFonts w:ascii="Times New Roman" w:hAnsi="Times New Roman" w:cs="Times New Roman"/>
          <w:sz w:val="22"/>
        </w:rPr>
        <w:t xml:space="preserve">has experience. </w:t>
      </w:r>
      <w:r w:rsidRPr="00BB7B9A">
        <w:rPr>
          <w:rFonts w:ascii="Times New Roman" w:hAnsi="Times New Roman" w:cs="Times New Roman" w:hint="eastAsia"/>
          <w:sz w:val="22"/>
        </w:rPr>
        <w:t xml:space="preserve"> </w:t>
      </w:r>
      <w:r w:rsidRPr="00BB7B9A">
        <w:rPr>
          <w:rFonts w:ascii="Times New Roman" w:hAnsi="Times New Roman" w:cs="Times New Roman"/>
          <w:sz w:val="22"/>
        </w:rPr>
        <w:t xml:space="preserve">Therefore, we cannot treat the body as an agent or location of experience.  Instead, we should regard persons not only as having the capacity to act, but also as having the capacity to understand what they are doing.  Featherstone (2006) argues that “our basic analytical conceptual knowledge of the world is seen as relying on metaphors which derive from bodily experience and which become embedded in language, suggesting the need to be aware of ‘the body in the mind’ ” (233).  This is a serious mistake.  Even if we endorse that our bodies have experiences, the intelligibility of metaphors which supposedly derives from the bodily experience cannot be fixed in the bodies.  Bodily experiences themselves cannot be a basis of intelligibility.  Rather, the intelligibility of the metaphors depends on the existence of the social rules governing the use of words and making communication possible. </w:t>
      </w:r>
      <w:r w:rsidRPr="00BB7B9A">
        <w:rPr>
          <w:rFonts w:ascii="Times New Roman" w:hAnsi="Times New Roman" w:cs="Times New Roman" w:hint="eastAsia"/>
          <w:sz w:val="22"/>
        </w:rPr>
        <w:t xml:space="preserve"> </w:t>
      </w:r>
      <w:r w:rsidRPr="00BB7B9A">
        <w:rPr>
          <w:rFonts w:ascii="Times New Roman" w:hAnsi="Times New Roman" w:cs="Times New Roman"/>
          <w:sz w:val="22"/>
        </w:rPr>
        <w:t xml:space="preserve">Recall Wittgenstein’s argument of the impossibility of private language.  Wittgenstein’s attack on private language has a greatly significant implication because the possibility of a private language is arguably an unformulated presupposition of standard theory of knowledge, metaphysics and philosophy of mind from Descartes to much of the cognitive science of the late twentieth century, including post-Cartesian materialism. </w:t>
      </w:r>
    </w:p>
    <w:p w:rsidR="00E87C3B" w:rsidRPr="00BB7B9A" w:rsidRDefault="00E87C3B" w:rsidP="00BB7B9A">
      <w:pPr>
        <w:wordWrap/>
        <w:spacing w:line="360" w:lineRule="auto"/>
        <w:ind w:firstLine="720"/>
        <w:jc w:val="left"/>
        <w:rPr>
          <w:rFonts w:ascii="Times New Roman" w:hAnsi="Times New Roman" w:cs="Times New Roman"/>
          <w:sz w:val="22"/>
        </w:rPr>
      </w:pPr>
      <w:r w:rsidRPr="00BB7B9A">
        <w:rPr>
          <w:rFonts w:ascii="Times New Roman" w:hAnsi="Times New Roman" w:cs="Times New Roman"/>
          <w:sz w:val="22"/>
        </w:rPr>
        <w:t>The phenomena of religious vision</w:t>
      </w:r>
      <w:r w:rsidRPr="00BB7B9A">
        <w:rPr>
          <w:rFonts w:ascii="Times New Roman" w:hAnsi="Times New Roman" w:cs="Times New Roman" w:hint="eastAsia"/>
          <w:sz w:val="22"/>
        </w:rPr>
        <w:t>s</w:t>
      </w:r>
      <w:r w:rsidRPr="00BB7B9A">
        <w:rPr>
          <w:rFonts w:ascii="Times New Roman" w:hAnsi="Times New Roman" w:cs="Times New Roman"/>
          <w:sz w:val="22"/>
        </w:rPr>
        <w:t xml:space="preserve"> can be called ‘embodied experience</w:t>
      </w:r>
      <w:r w:rsidRPr="00BB7B9A">
        <w:rPr>
          <w:rFonts w:ascii="Times New Roman" w:hAnsi="Times New Roman" w:cs="Times New Roman" w:hint="eastAsia"/>
          <w:sz w:val="22"/>
        </w:rPr>
        <w:t>s</w:t>
      </w:r>
      <w:r w:rsidRPr="00BB7B9A">
        <w:rPr>
          <w:rFonts w:ascii="Times New Roman" w:hAnsi="Times New Roman" w:cs="Times New Roman"/>
          <w:sz w:val="22"/>
        </w:rPr>
        <w:t>’ in the absence of semantic component.</w:t>
      </w:r>
      <w:r w:rsidRPr="00BB7B9A">
        <w:rPr>
          <w:rFonts w:ascii="Times New Roman" w:hAnsi="Times New Roman" w:cs="Times New Roman" w:hint="eastAsia"/>
          <w:sz w:val="22"/>
        </w:rPr>
        <w:t xml:space="preserve">  </w:t>
      </w:r>
      <w:r w:rsidRPr="00BB7B9A">
        <w:rPr>
          <w:rFonts w:ascii="Times New Roman" w:hAnsi="Times New Roman" w:cs="Times New Roman"/>
          <w:sz w:val="22"/>
        </w:rPr>
        <w:t xml:space="preserve">Coulter’s (1973) exploration of the phenomena of religious visions </w:t>
      </w:r>
      <w:r w:rsidRPr="00BB7B9A">
        <w:rPr>
          <w:rFonts w:ascii="Times New Roman" w:hAnsi="Times New Roman" w:cs="Times New Roman" w:hint="eastAsia"/>
          <w:sz w:val="22"/>
        </w:rPr>
        <w:t xml:space="preserve">shows a different approach.  </w:t>
      </w:r>
      <w:r w:rsidRPr="00BB7B9A">
        <w:rPr>
          <w:rFonts w:ascii="Times New Roman" w:hAnsi="Times New Roman" w:cs="Times New Roman"/>
          <w:sz w:val="22"/>
        </w:rPr>
        <w:t xml:space="preserve"> </w:t>
      </w:r>
    </w:p>
    <w:p w:rsidR="00E87C3B" w:rsidRPr="00BB7B9A" w:rsidRDefault="00E87C3B" w:rsidP="00BB7B9A">
      <w:pPr>
        <w:wordWrap/>
        <w:spacing w:line="360" w:lineRule="auto"/>
        <w:ind w:leftChars="400" w:left="800" w:rightChars="400" w:right="800"/>
        <w:jc w:val="left"/>
        <w:rPr>
          <w:rFonts w:ascii="Times New Roman" w:hAnsi="Times New Roman" w:cs="Times New Roman"/>
          <w:sz w:val="22"/>
        </w:rPr>
      </w:pPr>
    </w:p>
    <w:p w:rsidR="00E87C3B" w:rsidRPr="00BB7B9A" w:rsidRDefault="00E87C3B" w:rsidP="00D1586E">
      <w:pPr>
        <w:wordWrap/>
        <w:ind w:leftChars="400" w:left="800" w:rightChars="400" w:right="800"/>
        <w:jc w:val="left"/>
        <w:rPr>
          <w:rFonts w:ascii="Times New Roman" w:hAnsi="Times New Roman" w:cs="Times New Roman"/>
          <w:sz w:val="22"/>
        </w:rPr>
      </w:pPr>
      <w:r w:rsidRPr="00BB7B9A">
        <w:rPr>
          <w:rFonts w:ascii="Times New Roman" w:hAnsi="Times New Roman" w:cs="Times New Roman"/>
          <w:sz w:val="22"/>
        </w:rPr>
        <w:t xml:space="preserve">…the phenomena of religious visions is cited in order to demonstrate the connection between a type of belief and hallucinations, but this only works if we </w:t>
      </w:r>
      <w:r w:rsidRPr="00BB7B9A">
        <w:rPr>
          <w:rFonts w:ascii="Times New Roman" w:hAnsi="Times New Roman" w:cs="Times New Roman"/>
          <w:sz w:val="22"/>
        </w:rPr>
        <w:lastRenderedPageBreak/>
        <w:t xml:space="preserve">can be persuaded to treat visions as hallucinations in the first place.  A vision is a kind of percept whose status is informed by established beliefs; only a religious man can have a vision of the Virgin Mary of the Archangel Gabriel, whereas a non-religious man who saw either would think that he had an hallucination (unless, of course, it inspired a religious conversion in him, in which case he might </w:t>
      </w:r>
      <w:r w:rsidRPr="00BB7B9A">
        <w:rPr>
          <w:rFonts w:ascii="Times New Roman" w:hAnsi="Times New Roman" w:cs="Times New Roman"/>
          <w:i/>
          <w:sz w:val="22"/>
        </w:rPr>
        <w:t>retrospectively</w:t>
      </w:r>
      <w:r w:rsidRPr="00BB7B9A">
        <w:rPr>
          <w:rFonts w:ascii="Times New Roman" w:hAnsi="Times New Roman" w:cs="Times New Roman"/>
          <w:sz w:val="22"/>
        </w:rPr>
        <w:t xml:space="preserve"> constitute it as a divine vision) (101-102).</w:t>
      </w:r>
      <w:r w:rsidRPr="00BB7B9A">
        <w:rPr>
          <w:rStyle w:val="a7"/>
          <w:rFonts w:ascii="Times New Roman" w:hAnsi="Times New Roman"/>
          <w:sz w:val="22"/>
        </w:rPr>
        <w:footnoteReference w:id="11"/>
      </w:r>
      <w:r w:rsidRPr="00BB7B9A">
        <w:rPr>
          <w:rFonts w:ascii="Times New Roman" w:hAnsi="Times New Roman" w:cs="Times New Roman" w:hint="eastAsia"/>
          <w:sz w:val="22"/>
        </w:rPr>
        <w:t xml:space="preserve"> </w:t>
      </w:r>
    </w:p>
    <w:p w:rsidR="00E87C3B" w:rsidRPr="00BB7B9A" w:rsidRDefault="00E87C3B" w:rsidP="00BB7B9A">
      <w:pPr>
        <w:wordWrap/>
        <w:spacing w:line="360" w:lineRule="auto"/>
        <w:jc w:val="left"/>
        <w:rPr>
          <w:rFonts w:ascii="Times New Roman" w:hAnsi="Times New Roman" w:cs="Times New Roman"/>
          <w:sz w:val="22"/>
        </w:rPr>
      </w:pP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hint="eastAsia"/>
          <w:sz w:val="22"/>
        </w:rPr>
        <w:t xml:space="preserve">That only a religious man can have a religious vision implies that what makes the vision one of divine will or of divine truth is its relation to </w:t>
      </w:r>
      <w:r w:rsidRPr="00BB7B9A">
        <w:rPr>
          <w:rFonts w:ascii="Times New Roman" w:hAnsi="Times New Roman" w:cs="Times New Roman"/>
          <w:sz w:val="22"/>
        </w:rPr>
        <w:t>the</w:t>
      </w:r>
      <w:r w:rsidRPr="00BB7B9A">
        <w:rPr>
          <w:rFonts w:ascii="Times New Roman" w:hAnsi="Times New Roman" w:cs="Times New Roman" w:hint="eastAsia"/>
          <w:sz w:val="22"/>
        </w:rPr>
        <w:t xml:space="preserve"> vast body of religious belief of which it is a part.  Phillips (1966) aptly points out this: </w:t>
      </w:r>
    </w:p>
    <w:p w:rsidR="00E87C3B" w:rsidRPr="00BB7B9A" w:rsidRDefault="00E87C3B" w:rsidP="00BB7B9A">
      <w:pPr>
        <w:wordWrap/>
        <w:spacing w:line="360" w:lineRule="auto"/>
        <w:ind w:leftChars="400" w:left="800" w:rightChars="400" w:right="800"/>
        <w:jc w:val="left"/>
        <w:rPr>
          <w:rFonts w:ascii="Times New Roman" w:hAnsi="Times New Roman" w:cs="Times New Roman"/>
          <w:sz w:val="22"/>
        </w:rPr>
      </w:pPr>
    </w:p>
    <w:p w:rsidR="00E87C3B" w:rsidRPr="00BB7B9A" w:rsidRDefault="00E87C3B" w:rsidP="00D1586E">
      <w:pPr>
        <w:wordWrap/>
        <w:ind w:leftChars="400" w:left="800" w:rightChars="400" w:right="800"/>
        <w:jc w:val="left"/>
        <w:rPr>
          <w:rFonts w:ascii="Times New Roman" w:hAnsi="Times New Roman" w:cs="Times New Roman"/>
          <w:sz w:val="22"/>
        </w:rPr>
      </w:pPr>
      <w:r w:rsidRPr="00BB7B9A">
        <w:rPr>
          <w:rFonts w:ascii="Times New Roman" w:hAnsi="Times New Roman" w:cs="Times New Roman" w:hint="eastAsia"/>
          <w:sz w:val="22"/>
        </w:rPr>
        <w:t xml:space="preserve">To say that one has had a vision of the Virgin Mary is to say more than that one has seen certain things, etc.  One may claim to have had a religious </w:t>
      </w:r>
      <w:r w:rsidRPr="00BB7B9A">
        <w:rPr>
          <w:rFonts w:ascii="Times New Roman" w:hAnsi="Times New Roman" w:cs="Times New Roman"/>
          <w:sz w:val="22"/>
        </w:rPr>
        <w:t>significant</w:t>
      </w:r>
      <w:r w:rsidRPr="00BB7B9A">
        <w:rPr>
          <w:rFonts w:ascii="Times New Roman" w:hAnsi="Times New Roman" w:cs="Times New Roman" w:hint="eastAsia"/>
          <w:sz w:val="22"/>
        </w:rPr>
        <w:t xml:space="preserve"> vision, but whether the vision has such religious </w:t>
      </w:r>
      <w:r w:rsidRPr="00BB7B9A">
        <w:rPr>
          <w:rFonts w:ascii="Times New Roman" w:hAnsi="Times New Roman" w:cs="Times New Roman"/>
          <w:sz w:val="22"/>
        </w:rPr>
        <w:t>significance</w:t>
      </w:r>
      <w:r w:rsidRPr="00BB7B9A">
        <w:rPr>
          <w:rFonts w:ascii="Times New Roman" w:hAnsi="Times New Roman" w:cs="Times New Roman" w:hint="eastAsia"/>
          <w:sz w:val="22"/>
        </w:rPr>
        <w:t xml:space="preserve"> is determined by the </w:t>
      </w:r>
      <w:r w:rsidRPr="00BB7B9A">
        <w:rPr>
          <w:rFonts w:ascii="Times New Roman" w:hAnsi="Times New Roman" w:cs="Times New Roman"/>
          <w:sz w:val="22"/>
        </w:rPr>
        <w:t>religion</w:t>
      </w:r>
      <w:r w:rsidRPr="00BB7B9A">
        <w:rPr>
          <w:rFonts w:ascii="Times New Roman" w:hAnsi="Times New Roman" w:cs="Times New Roman" w:hint="eastAsia"/>
          <w:sz w:val="22"/>
        </w:rPr>
        <w:t xml:space="preserve"> within which the vision is experienced, or at least, by the religion which influences the vision.  If one remains with the sensory phenomena what one fails to take account of is precisely the </w:t>
      </w:r>
      <w:r w:rsidRPr="00BB7B9A">
        <w:rPr>
          <w:rFonts w:ascii="Times New Roman" w:hAnsi="Times New Roman" w:cs="Times New Roman"/>
          <w:i/>
          <w:sz w:val="22"/>
        </w:rPr>
        <w:t>religious</w:t>
      </w:r>
      <w:r w:rsidRPr="00BB7B9A">
        <w:rPr>
          <w:rFonts w:ascii="Times New Roman" w:hAnsi="Times New Roman" w:cs="Times New Roman" w:hint="eastAsia"/>
          <w:sz w:val="22"/>
        </w:rPr>
        <w:t xml:space="preserve"> </w:t>
      </w:r>
      <w:r w:rsidRPr="00BB7B9A">
        <w:rPr>
          <w:rFonts w:ascii="Times New Roman" w:hAnsi="Times New Roman" w:cs="Times New Roman"/>
          <w:sz w:val="22"/>
        </w:rPr>
        <w:t>significance</w:t>
      </w:r>
      <w:r w:rsidRPr="00BB7B9A">
        <w:rPr>
          <w:rFonts w:ascii="Times New Roman" w:hAnsi="Times New Roman" w:cs="Times New Roman" w:hint="eastAsia"/>
          <w:sz w:val="22"/>
        </w:rPr>
        <w:t xml:space="preserve"> of the vision (36). </w:t>
      </w:r>
    </w:p>
    <w:p w:rsidR="00E87C3B" w:rsidRPr="00BB7B9A" w:rsidRDefault="00E87C3B" w:rsidP="00BB7B9A">
      <w:pPr>
        <w:wordWrap/>
        <w:spacing w:line="360" w:lineRule="auto"/>
        <w:jc w:val="left"/>
        <w:rPr>
          <w:rFonts w:ascii="Times New Roman" w:hAnsi="Times New Roman" w:cs="Times New Roman"/>
          <w:sz w:val="22"/>
        </w:rPr>
      </w:pP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I</w:t>
      </w:r>
      <w:r w:rsidRPr="00BB7B9A">
        <w:rPr>
          <w:rFonts w:ascii="Times New Roman" w:hAnsi="Times New Roman" w:cs="Times New Roman" w:hint="eastAsia"/>
          <w:sz w:val="22"/>
        </w:rPr>
        <w:t xml:space="preserve">n the </w:t>
      </w:r>
      <w:r w:rsidRPr="00BB7B9A">
        <w:rPr>
          <w:rFonts w:ascii="Times New Roman" w:hAnsi="Times New Roman" w:cs="Times New Roman"/>
          <w:sz w:val="22"/>
        </w:rPr>
        <w:t>religious</w:t>
      </w:r>
      <w:r w:rsidRPr="00BB7B9A">
        <w:rPr>
          <w:rFonts w:ascii="Times New Roman" w:hAnsi="Times New Roman" w:cs="Times New Roman" w:hint="eastAsia"/>
          <w:sz w:val="22"/>
        </w:rPr>
        <w:t xml:space="preserve"> context, the vision gains </w:t>
      </w:r>
      <w:r w:rsidRPr="00BB7B9A">
        <w:rPr>
          <w:rFonts w:ascii="Times New Roman" w:hAnsi="Times New Roman" w:cs="Times New Roman"/>
          <w:sz w:val="22"/>
        </w:rPr>
        <w:t>religious</w:t>
      </w:r>
      <w:r w:rsidRPr="00BB7B9A">
        <w:rPr>
          <w:rFonts w:ascii="Times New Roman" w:hAnsi="Times New Roman" w:cs="Times New Roman" w:hint="eastAsia"/>
          <w:sz w:val="22"/>
        </w:rPr>
        <w:t xml:space="preserve"> significance according to the rules </w:t>
      </w:r>
      <w:r w:rsidRPr="00BB7B9A">
        <w:rPr>
          <w:rFonts w:ascii="Times New Roman" w:hAnsi="Times New Roman" w:cs="Times New Roman"/>
          <w:sz w:val="22"/>
        </w:rPr>
        <w:t>which</w:t>
      </w:r>
      <w:r w:rsidRPr="00BB7B9A">
        <w:rPr>
          <w:rFonts w:ascii="Times New Roman" w:hAnsi="Times New Roman" w:cs="Times New Roman" w:hint="eastAsia"/>
          <w:sz w:val="22"/>
        </w:rPr>
        <w:t xml:space="preserve"> determine the authenticity of the vision, that is, </w:t>
      </w:r>
      <w:r w:rsidRPr="00BB7B9A">
        <w:rPr>
          <w:rFonts w:ascii="Times New Roman" w:hAnsi="Times New Roman" w:cs="Times New Roman"/>
          <w:sz w:val="22"/>
        </w:rPr>
        <w:t>whether</w:t>
      </w:r>
      <w:r w:rsidRPr="00BB7B9A">
        <w:rPr>
          <w:rFonts w:ascii="Times New Roman" w:hAnsi="Times New Roman" w:cs="Times New Roman" w:hint="eastAsia"/>
          <w:sz w:val="22"/>
        </w:rPr>
        <w:t xml:space="preserve"> it is </w:t>
      </w:r>
      <w:r w:rsidRPr="00BB7B9A">
        <w:rPr>
          <w:rFonts w:ascii="Times New Roman" w:hAnsi="Times New Roman" w:cs="Times New Roman"/>
          <w:sz w:val="22"/>
        </w:rPr>
        <w:t>‘</w:t>
      </w:r>
      <w:r w:rsidRPr="00BB7B9A">
        <w:rPr>
          <w:rFonts w:ascii="Times New Roman" w:hAnsi="Times New Roman" w:cs="Times New Roman" w:hint="eastAsia"/>
          <w:sz w:val="22"/>
        </w:rPr>
        <w:t>the gift of God</w:t>
      </w:r>
      <w:r w:rsidRPr="00BB7B9A">
        <w:rPr>
          <w:rFonts w:ascii="Times New Roman" w:hAnsi="Times New Roman" w:cs="Times New Roman"/>
          <w:sz w:val="22"/>
        </w:rPr>
        <w:t>’</w:t>
      </w:r>
      <w:r w:rsidRPr="00BB7B9A">
        <w:rPr>
          <w:rFonts w:ascii="Times New Roman" w:hAnsi="Times New Roman" w:cs="Times New Roman" w:hint="eastAsia"/>
          <w:sz w:val="22"/>
        </w:rPr>
        <w:t xml:space="preserve"> or not.  </w:t>
      </w:r>
      <w:r w:rsidRPr="00BB7B9A">
        <w:rPr>
          <w:rFonts w:ascii="Times New Roman" w:hAnsi="Times New Roman" w:cs="Times New Roman"/>
          <w:sz w:val="22"/>
        </w:rPr>
        <w:t xml:space="preserve">Coulter </w:t>
      </w:r>
      <w:r w:rsidRPr="00BB7B9A">
        <w:rPr>
          <w:rFonts w:ascii="Times New Roman" w:hAnsi="Times New Roman" w:cs="Times New Roman" w:hint="eastAsia"/>
          <w:sz w:val="22"/>
        </w:rPr>
        <w:t>reminds us that an</w:t>
      </w:r>
      <w:r w:rsidRPr="00BB7B9A">
        <w:rPr>
          <w:rFonts w:ascii="Times New Roman" w:hAnsi="Times New Roman" w:cs="Times New Roman"/>
          <w:sz w:val="22"/>
        </w:rPr>
        <w:t xml:space="preserve"> extraordinary experience cannot be identified as a religious vision without intersubjectively ratifiable criteria.  “Without even the </w:t>
      </w:r>
      <w:r w:rsidRPr="00BB7B9A">
        <w:rPr>
          <w:rFonts w:ascii="Times New Roman" w:hAnsi="Times New Roman" w:cs="Times New Roman"/>
          <w:i/>
          <w:sz w:val="22"/>
        </w:rPr>
        <w:t>possibility</w:t>
      </w:r>
      <w:r w:rsidRPr="00BB7B9A">
        <w:rPr>
          <w:rFonts w:ascii="Times New Roman" w:hAnsi="Times New Roman" w:cs="Times New Roman"/>
          <w:sz w:val="22"/>
        </w:rPr>
        <w:t xml:space="preserve"> of an intersubjectively ratifiable justification, or the possibility of satisfying public criteria for mental or experiential claims, no concepts for such mental or experiential claims are themselves possible” (Coulter 1989, 68).  </w:t>
      </w: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hint="eastAsia"/>
          <w:sz w:val="22"/>
        </w:rPr>
        <w:tab/>
        <w:t>Pentecostal g</w:t>
      </w:r>
      <w:r w:rsidRPr="00BB7B9A">
        <w:rPr>
          <w:rFonts w:ascii="Times New Roman" w:hAnsi="Times New Roman" w:cs="Times New Roman"/>
          <w:iCs/>
          <w:sz w:val="22"/>
        </w:rPr>
        <w:t>lossolalia</w:t>
      </w:r>
      <w:r w:rsidRPr="00BB7B9A">
        <w:rPr>
          <w:rFonts w:ascii="Times New Roman" w:hAnsi="Times New Roman" w:cs="Times New Roman"/>
          <w:sz w:val="22"/>
        </w:rPr>
        <w:t xml:space="preserve">, known as </w:t>
      </w:r>
      <w:r w:rsidRPr="00BB7B9A">
        <w:rPr>
          <w:rFonts w:ascii="Times New Roman" w:hAnsi="Times New Roman" w:cs="Times New Roman"/>
          <w:iCs/>
          <w:sz w:val="22"/>
        </w:rPr>
        <w:t>speaking in tongues</w:t>
      </w:r>
      <w:r w:rsidRPr="00BB7B9A">
        <w:rPr>
          <w:rFonts w:ascii="Times New Roman" w:hAnsi="Times New Roman" w:cs="Times New Roman"/>
          <w:sz w:val="22"/>
        </w:rPr>
        <w:t xml:space="preserve">, is </w:t>
      </w:r>
      <w:r w:rsidRPr="00BB7B9A">
        <w:rPr>
          <w:rFonts w:ascii="Times New Roman" w:hAnsi="Times New Roman" w:cs="Times New Roman" w:hint="eastAsia"/>
          <w:sz w:val="22"/>
        </w:rPr>
        <w:t xml:space="preserve">also an extraordinary religious experience </w:t>
      </w:r>
      <w:r w:rsidRPr="00BB7B9A">
        <w:rPr>
          <w:rFonts w:ascii="Times New Roman" w:hAnsi="Times New Roman" w:cs="Times New Roman"/>
          <w:sz w:val="22"/>
        </w:rPr>
        <w:t>which</w:t>
      </w:r>
      <w:r w:rsidRPr="00BB7B9A">
        <w:rPr>
          <w:rFonts w:ascii="Times New Roman" w:hAnsi="Times New Roman" w:cs="Times New Roman" w:hint="eastAsia"/>
          <w:sz w:val="22"/>
        </w:rPr>
        <w:t xml:space="preserve"> </w:t>
      </w:r>
      <w:r w:rsidRPr="00BB7B9A">
        <w:rPr>
          <w:rFonts w:ascii="Times New Roman" w:hAnsi="Times New Roman" w:cs="Times New Roman"/>
          <w:sz w:val="22"/>
        </w:rPr>
        <w:t>attracts special attention in relation to i</w:t>
      </w:r>
      <w:r w:rsidRPr="00BB7B9A">
        <w:rPr>
          <w:rFonts w:ascii="Times New Roman" w:hAnsi="Times New Roman" w:cs="Times New Roman" w:hint="eastAsia"/>
          <w:sz w:val="22"/>
        </w:rPr>
        <w:t>ntersubjectively ratifiable criteria.  Glossolalia is the vocalizing of fluent speech-like (non-sensical) syllables, as part of religious practice.  It</w:t>
      </w:r>
      <w:r w:rsidRPr="00BB7B9A">
        <w:rPr>
          <w:rFonts w:ascii="Times New Roman" w:hAnsi="Times New Roman" w:cs="Times New Roman"/>
          <w:sz w:val="22"/>
        </w:rPr>
        <w:t xml:space="preserve"> initially appears to resemble words and continuous speech</w:t>
      </w:r>
      <w:r w:rsidRPr="00BB7B9A">
        <w:rPr>
          <w:rFonts w:ascii="Times New Roman" w:hAnsi="Times New Roman" w:cs="Times New Roman" w:hint="eastAsia"/>
          <w:sz w:val="22"/>
        </w:rPr>
        <w:t>, but it</w:t>
      </w:r>
      <w:r w:rsidRPr="00BB7B9A">
        <w:rPr>
          <w:rFonts w:ascii="Times New Roman" w:hAnsi="Times New Roman" w:cs="Times New Roman"/>
          <w:sz w:val="22"/>
        </w:rPr>
        <w:t xml:space="preserve"> is completely lacking in structure, meaning and grammar</w:t>
      </w:r>
      <w:r w:rsidRPr="00BB7B9A">
        <w:rPr>
          <w:rFonts w:ascii="Times New Roman" w:hAnsi="Times New Roman" w:cs="Times New Roman" w:hint="eastAsia"/>
          <w:sz w:val="22"/>
        </w:rPr>
        <w:t>.  Thus, glossolalia is often interpreted as a phenomenon of embodiment characterized by its lack of a semantic component.</w:t>
      </w:r>
      <w:r w:rsidRPr="00BB7B9A">
        <w:rPr>
          <w:rStyle w:val="a7"/>
          <w:rFonts w:ascii="Times New Roman" w:hAnsi="Times New Roman"/>
          <w:sz w:val="22"/>
        </w:rPr>
        <w:footnoteReference w:id="12"/>
      </w:r>
      <w:r w:rsidRPr="00BB7B9A">
        <w:rPr>
          <w:rFonts w:ascii="Times New Roman" w:hAnsi="Times New Roman" w:cs="Times New Roman" w:hint="eastAsia"/>
          <w:sz w:val="22"/>
        </w:rPr>
        <w:t xml:space="preserve">  However, g</w:t>
      </w:r>
      <w:r w:rsidRPr="00BB7B9A">
        <w:rPr>
          <w:rFonts w:ascii="Times New Roman" w:hAnsi="Times New Roman" w:cs="Times New Roman"/>
          <w:sz w:val="22"/>
        </w:rPr>
        <w:t>lossolalia</w:t>
      </w:r>
      <w:r w:rsidRPr="00BB7B9A">
        <w:rPr>
          <w:rFonts w:ascii="Times New Roman" w:hAnsi="Times New Roman" w:cs="Times New Roman" w:hint="eastAsia"/>
          <w:sz w:val="22"/>
        </w:rPr>
        <w:t xml:space="preserve"> </w:t>
      </w:r>
      <w:r w:rsidRPr="00BB7B9A">
        <w:rPr>
          <w:rFonts w:ascii="Times New Roman" w:hAnsi="Times New Roman" w:cs="Times New Roman"/>
          <w:sz w:val="22"/>
        </w:rPr>
        <w:t xml:space="preserve">is </w:t>
      </w:r>
      <w:r w:rsidRPr="00BB7B9A">
        <w:rPr>
          <w:rFonts w:ascii="Times New Roman" w:hAnsi="Times New Roman" w:cs="Times New Roman" w:hint="eastAsia"/>
          <w:sz w:val="22"/>
        </w:rPr>
        <w:t xml:space="preserve">also </w:t>
      </w:r>
      <w:r w:rsidRPr="00BB7B9A">
        <w:rPr>
          <w:rFonts w:ascii="Times New Roman" w:hAnsi="Times New Roman" w:cs="Times New Roman"/>
          <w:sz w:val="22"/>
        </w:rPr>
        <w:t>rule-governed in the sense that specific times and places are necessary contextual backgrounds for the performances to be recognized as such</w:t>
      </w:r>
      <w:r w:rsidRPr="00BB7B9A">
        <w:rPr>
          <w:rFonts w:ascii="Times New Roman" w:hAnsi="Times New Roman" w:cs="Times New Roman" w:hint="eastAsia"/>
          <w:sz w:val="22"/>
        </w:rPr>
        <w:t>, not in the sense that it can be intelligible according to intersubjective rules as we understand ordinary speech.  L</w:t>
      </w:r>
      <w:r w:rsidRPr="00BB7B9A">
        <w:rPr>
          <w:rFonts w:ascii="Times New Roman" w:hAnsi="Times New Roman" w:cs="Times New Roman"/>
          <w:sz w:val="22"/>
        </w:rPr>
        <w:t>ocation, timing, membership, the ‘sincerity’ condition</w:t>
      </w:r>
      <w:r w:rsidRPr="00BB7B9A">
        <w:rPr>
          <w:rFonts w:ascii="Times New Roman" w:hAnsi="Times New Roman" w:cs="Times New Roman" w:hint="eastAsia"/>
          <w:sz w:val="22"/>
        </w:rPr>
        <w:t>,</w:t>
      </w:r>
      <w:r w:rsidRPr="00BB7B9A">
        <w:rPr>
          <w:rStyle w:val="a7"/>
          <w:rFonts w:ascii="Times New Roman" w:hAnsi="Times New Roman"/>
          <w:sz w:val="22"/>
        </w:rPr>
        <w:footnoteReference w:id="13"/>
      </w:r>
      <w:r w:rsidRPr="00BB7B9A">
        <w:rPr>
          <w:rFonts w:ascii="Times New Roman" w:hAnsi="Times New Roman" w:cs="Times New Roman" w:hint="eastAsia"/>
          <w:sz w:val="22"/>
        </w:rPr>
        <w:t xml:space="preserve"> all </w:t>
      </w:r>
      <w:r w:rsidRPr="00BB7B9A">
        <w:rPr>
          <w:rFonts w:ascii="Times New Roman" w:hAnsi="Times New Roman" w:cs="Times New Roman" w:hint="eastAsia"/>
          <w:sz w:val="22"/>
        </w:rPr>
        <w:lastRenderedPageBreak/>
        <w:t xml:space="preserve">contribute to identify glossolalia as such.  In the </w:t>
      </w:r>
      <w:r w:rsidRPr="00BB7B9A">
        <w:rPr>
          <w:rFonts w:ascii="Times New Roman" w:hAnsi="Times New Roman" w:cs="Times New Roman"/>
          <w:sz w:val="22"/>
        </w:rPr>
        <w:t>Pentecostal</w:t>
      </w:r>
      <w:r w:rsidRPr="00BB7B9A">
        <w:rPr>
          <w:rFonts w:ascii="Times New Roman" w:hAnsi="Times New Roman" w:cs="Times New Roman" w:hint="eastAsia"/>
          <w:sz w:val="22"/>
        </w:rPr>
        <w:t xml:space="preserve"> community, there are accepted standards, however vague and indefinite, to determine what could be ascribed to God or not.  By these standards, glossolalia gains religious significance in given situations.  O</w:t>
      </w:r>
      <w:r w:rsidRPr="00BB7B9A">
        <w:rPr>
          <w:rFonts w:ascii="Times New Roman" w:hAnsi="Times New Roman" w:cs="Times New Roman"/>
          <w:sz w:val="22"/>
        </w:rPr>
        <w:t>therwise</w:t>
      </w:r>
      <w:r w:rsidRPr="00BB7B9A">
        <w:rPr>
          <w:rFonts w:ascii="Times New Roman" w:hAnsi="Times New Roman" w:cs="Times New Roman" w:hint="eastAsia"/>
          <w:sz w:val="22"/>
        </w:rPr>
        <w:t>,</w:t>
      </w:r>
      <w:r w:rsidRPr="00BB7B9A">
        <w:rPr>
          <w:rFonts w:ascii="Times New Roman" w:hAnsi="Times New Roman" w:cs="Times New Roman"/>
          <w:sz w:val="22"/>
        </w:rPr>
        <w:t xml:space="preserve"> we would not be in a position to distinguish between, say, glossolalic output and schizophrenic thought-disordered speech</w:t>
      </w:r>
      <w:r w:rsidRPr="00BB7B9A">
        <w:rPr>
          <w:rFonts w:ascii="Times New Roman" w:hAnsi="Times New Roman" w:cs="Times New Roman" w:hint="eastAsia"/>
          <w:sz w:val="22"/>
        </w:rPr>
        <w:t xml:space="preserve">.  Samarin (1972) cogently points out that: </w:t>
      </w:r>
    </w:p>
    <w:p w:rsidR="00E87C3B" w:rsidRPr="00BB7B9A" w:rsidRDefault="00E87C3B" w:rsidP="00BB7B9A">
      <w:pPr>
        <w:wordWrap/>
        <w:spacing w:line="360" w:lineRule="auto"/>
        <w:ind w:leftChars="400" w:left="800" w:rightChars="400" w:right="800"/>
        <w:jc w:val="left"/>
        <w:rPr>
          <w:rFonts w:ascii="Times New Roman" w:hAnsi="Times New Roman" w:cs="Times New Roman"/>
          <w:sz w:val="22"/>
        </w:rPr>
      </w:pPr>
    </w:p>
    <w:p w:rsidR="00E87C3B" w:rsidRPr="00BB7B9A" w:rsidRDefault="00E87C3B" w:rsidP="00D1586E">
      <w:pPr>
        <w:wordWrap/>
        <w:ind w:leftChars="400" w:left="800" w:rightChars="400" w:right="800"/>
        <w:jc w:val="left"/>
        <w:rPr>
          <w:rFonts w:ascii="Times New Roman" w:hAnsi="Times New Roman" w:cs="Times New Roman"/>
          <w:sz w:val="22"/>
        </w:rPr>
      </w:pPr>
      <w:r w:rsidRPr="00BB7B9A">
        <w:rPr>
          <w:rFonts w:ascii="Times New Roman" w:hAnsi="Times New Roman" w:cs="Times New Roman" w:hint="eastAsia"/>
          <w:sz w:val="22"/>
        </w:rPr>
        <w:t xml:space="preserve">The social role (read also </w:t>
      </w:r>
      <w:r w:rsidRPr="00BB7B9A">
        <w:rPr>
          <w:rFonts w:ascii="Times New Roman" w:hAnsi="Times New Roman" w:cs="Times New Roman"/>
          <w:sz w:val="22"/>
        </w:rPr>
        <w:t>‘</w:t>
      </w:r>
      <w:r w:rsidRPr="00BB7B9A">
        <w:rPr>
          <w:rFonts w:ascii="Times New Roman" w:hAnsi="Times New Roman" w:cs="Times New Roman" w:hint="eastAsia"/>
          <w:sz w:val="22"/>
        </w:rPr>
        <w:t>religious function</w:t>
      </w:r>
      <w:r w:rsidRPr="00BB7B9A">
        <w:rPr>
          <w:rFonts w:ascii="Times New Roman" w:hAnsi="Times New Roman" w:cs="Times New Roman"/>
          <w:sz w:val="22"/>
        </w:rPr>
        <w:t>’</w:t>
      </w:r>
      <w:r w:rsidRPr="00BB7B9A">
        <w:rPr>
          <w:rFonts w:ascii="Times New Roman" w:hAnsi="Times New Roman" w:cs="Times New Roman" w:hint="eastAsia"/>
          <w:sz w:val="22"/>
        </w:rPr>
        <w:t>) of glossolalia is</w:t>
      </w:r>
      <w:r w:rsidRPr="00BB7B9A">
        <w:rPr>
          <w:rFonts w:ascii="Times New Roman" w:hAnsi="Times New Roman" w:cs="Times New Roman"/>
          <w:sz w:val="22"/>
        </w:rPr>
        <w:t>…</w:t>
      </w:r>
      <w:r w:rsidRPr="00BB7B9A">
        <w:rPr>
          <w:rFonts w:ascii="Times New Roman" w:hAnsi="Times New Roman" w:cs="Times New Roman" w:hint="eastAsia"/>
          <w:sz w:val="22"/>
        </w:rPr>
        <w:t xml:space="preserve">founded in its appropriateness in given situations.  </w:t>
      </w:r>
      <w:r w:rsidRPr="00BB7B9A">
        <w:rPr>
          <w:rFonts w:ascii="Times New Roman" w:hAnsi="Times New Roman" w:cs="Times New Roman"/>
          <w:sz w:val="22"/>
        </w:rPr>
        <w:t>A</w:t>
      </w:r>
      <w:r w:rsidRPr="00BB7B9A">
        <w:rPr>
          <w:rFonts w:ascii="Times New Roman" w:hAnsi="Times New Roman" w:cs="Times New Roman" w:hint="eastAsia"/>
          <w:sz w:val="22"/>
        </w:rPr>
        <w:t>nd appropriateness is regulated by</w:t>
      </w:r>
      <w:r w:rsidRPr="00BB7B9A">
        <w:rPr>
          <w:rFonts w:ascii="Times New Roman" w:hAnsi="Times New Roman" w:cs="Times New Roman"/>
          <w:sz w:val="22"/>
        </w:rPr>
        <w:t xml:space="preserve"> </w:t>
      </w:r>
      <w:r w:rsidRPr="00BB7B9A">
        <w:rPr>
          <w:rFonts w:ascii="Times New Roman" w:hAnsi="Times New Roman" w:cs="Times New Roman" w:hint="eastAsia"/>
          <w:sz w:val="22"/>
        </w:rPr>
        <w:t xml:space="preserve">a body of rules, some overt and some covert, shared by the Pentecostal community.  </w:t>
      </w:r>
      <w:r w:rsidRPr="00BB7B9A">
        <w:rPr>
          <w:rFonts w:ascii="Times New Roman" w:hAnsi="Times New Roman" w:cs="Times New Roman"/>
          <w:sz w:val="22"/>
        </w:rPr>
        <w:t>T</w:t>
      </w:r>
      <w:r w:rsidRPr="00BB7B9A">
        <w:rPr>
          <w:rFonts w:ascii="Times New Roman" w:hAnsi="Times New Roman" w:cs="Times New Roman" w:hint="eastAsia"/>
          <w:sz w:val="22"/>
        </w:rPr>
        <w:t xml:space="preserve">hese rules govern, for example, who can prophecy or interpret </w:t>
      </w:r>
      <w:r w:rsidRPr="00BB7B9A">
        <w:rPr>
          <w:rFonts w:ascii="Times New Roman" w:hAnsi="Times New Roman" w:cs="Times New Roman"/>
          <w:sz w:val="22"/>
        </w:rPr>
        <w:t>the</w:t>
      </w:r>
      <w:r w:rsidRPr="00BB7B9A">
        <w:rPr>
          <w:rFonts w:ascii="Times New Roman" w:hAnsi="Times New Roman" w:cs="Times New Roman" w:hint="eastAsia"/>
          <w:sz w:val="22"/>
        </w:rPr>
        <w:t xml:space="preserve"> prophecy, when it can occur in a public meeting, and even in what form: if the glossolalic utterance is, for example, not in harmony with the tone of the meeting, it will be rejected as coming from on</w:t>
      </w:r>
      <w:r w:rsidRPr="00BB7B9A">
        <w:rPr>
          <w:rFonts w:ascii="Times New Roman" w:hAnsi="Times New Roman" w:cs="Times New Roman"/>
          <w:sz w:val="22"/>
        </w:rPr>
        <w:t>e’</w:t>
      </w:r>
      <w:r w:rsidRPr="00BB7B9A">
        <w:rPr>
          <w:rFonts w:ascii="Times New Roman" w:hAnsi="Times New Roman" w:cs="Times New Roman" w:hint="eastAsia"/>
          <w:sz w:val="22"/>
        </w:rPr>
        <w:t xml:space="preserve">s self and not from God.   </w:t>
      </w:r>
    </w:p>
    <w:p w:rsidR="00E87C3B" w:rsidRPr="00BB7B9A" w:rsidRDefault="00E87C3B" w:rsidP="00D1586E">
      <w:pPr>
        <w:wordWrap/>
        <w:ind w:leftChars="400" w:left="800" w:rightChars="400" w:right="800" w:firstLine="640"/>
        <w:jc w:val="left"/>
        <w:rPr>
          <w:rFonts w:ascii="Times New Roman" w:hAnsi="Times New Roman" w:cs="Times New Roman"/>
          <w:sz w:val="22"/>
        </w:rPr>
      </w:pPr>
      <w:r w:rsidRPr="00BB7B9A">
        <w:rPr>
          <w:rFonts w:ascii="Times New Roman" w:hAnsi="Times New Roman" w:cs="Times New Roman"/>
          <w:sz w:val="22"/>
        </w:rPr>
        <w:t>…</w:t>
      </w:r>
      <w:r w:rsidRPr="00BB7B9A">
        <w:rPr>
          <w:rFonts w:ascii="Times New Roman" w:hAnsi="Times New Roman" w:cs="Times New Roman" w:hint="eastAsia"/>
          <w:sz w:val="22"/>
        </w:rPr>
        <w:t xml:space="preserve">The inevitable conclusion is that </w:t>
      </w:r>
      <w:r w:rsidRPr="00BB7B9A">
        <w:rPr>
          <w:rFonts w:ascii="Times New Roman" w:hAnsi="Times New Roman" w:cs="Times New Roman"/>
          <w:sz w:val="22"/>
        </w:rPr>
        <w:t>whether</w:t>
      </w:r>
      <w:r w:rsidRPr="00BB7B9A">
        <w:rPr>
          <w:rFonts w:ascii="Times New Roman" w:hAnsi="Times New Roman" w:cs="Times New Roman" w:hint="eastAsia"/>
          <w:sz w:val="22"/>
        </w:rPr>
        <w:t xml:space="preserve"> glossolalia be the tongues of men or of angels, it is indeed religious language.  </w:t>
      </w:r>
      <w:r w:rsidRPr="00BB7B9A">
        <w:rPr>
          <w:rFonts w:ascii="Times New Roman" w:hAnsi="Times New Roman" w:cs="Times New Roman"/>
          <w:sz w:val="22"/>
        </w:rPr>
        <w:t>A</w:t>
      </w:r>
      <w:r w:rsidRPr="00BB7B9A">
        <w:rPr>
          <w:rFonts w:ascii="Times New Roman" w:hAnsi="Times New Roman" w:cs="Times New Roman" w:hint="eastAsia"/>
          <w:sz w:val="22"/>
        </w:rPr>
        <w:t xml:space="preserve">nd this it is without saying one thing referentially (293-294).   </w:t>
      </w:r>
    </w:p>
    <w:p w:rsidR="00E87C3B" w:rsidRPr="00BB7B9A" w:rsidRDefault="00E87C3B" w:rsidP="00BB7B9A">
      <w:pPr>
        <w:wordWrap/>
        <w:spacing w:line="360" w:lineRule="auto"/>
        <w:jc w:val="left"/>
        <w:rPr>
          <w:rFonts w:ascii="Times New Roman" w:hAnsi="Times New Roman" w:cs="Times New Roman"/>
          <w:sz w:val="22"/>
        </w:rPr>
      </w:pPr>
    </w:p>
    <w:p w:rsidR="00E87C3B" w:rsidRPr="00BB7B9A" w:rsidRDefault="00E87C3B" w:rsidP="00BB7B9A">
      <w:pPr>
        <w:wordWrap/>
        <w:spacing w:line="360" w:lineRule="auto"/>
        <w:jc w:val="left"/>
        <w:rPr>
          <w:rFonts w:ascii="Times New Roman" w:hAnsi="Times New Roman" w:cs="Times New Roman"/>
          <w:sz w:val="22"/>
        </w:rPr>
      </w:pPr>
      <w:r w:rsidRPr="00BB7B9A">
        <w:rPr>
          <w:rFonts w:ascii="Times New Roman" w:hAnsi="Times New Roman" w:cs="Times New Roman"/>
          <w:sz w:val="22"/>
        </w:rPr>
        <w:t>T</w:t>
      </w:r>
      <w:r w:rsidRPr="00BB7B9A">
        <w:rPr>
          <w:rFonts w:ascii="Times New Roman" w:hAnsi="Times New Roman" w:cs="Times New Roman" w:hint="eastAsia"/>
          <w:sz w:val="22"/>
        </w:rPr>
        <w:t xml:space="preserve">he importance of the rules becomes </w:t>
      </w:r>
      <w:r w:rsidRPr="00BB7B9A">
        <w:rPr>
          <w:rFonts w:ascii="Times New Roman" w:hAnsi="Times New Roman" w:cs="Times New Roman"/>
          <w:sz w:val="22"/>
        </w:rPr>
        <w:t>evident</w:t>
      </w:r>
      <w:r w:rsidRPr="00BB7B9A">
        <w:rPr>
          <w:rFonts w:ascii="Times New Roman" w:hAnsi="Times New Roman" w:cs="Times New Roman" w:hint="eastAsia"/>
          <w:sz w:val="22"/>
        </w:rPr>
        <w:t xml:space="preserve"> from </w:t>
      </w:r>
      <w:r w:rsidRPr="00BB7B9A">
        <w:rPr>
          <w:rFonts w:ascii="Times New Roman" w:hAnsi="Times New Roman" w:cs="Times New Roman"/>
          <w:sz w:val="22"/>
        </w:rPr>
        <w:t>the</w:t>
      </w:r>
      <w:r w:rsidRPr="00BB7B9A">
        <w:rPr>
          <w:rFonts w:ascii="Times New Roman" w:hAnsi="Times New Roman" w:cs="Times New Roman" w:hint="eastAsia"/>
          <w:sz w:val="22"/>
        </w:rPr>
        <w:t xml:space="preserve"> fact that </w:t>
      </w:r>
      <w:r w:rsidRPr="00BB7B9A">
        <w:rPr>
          <w:rFonts w:ascii="Times New Roman" w:hAnsi="Times New Roman" w:cs="Times New Roman"/>
          <w:sz w:val="22"/>
        </w:rPr>
        <w:t>the</w:t>
      </w:r>
      <w:r w:rsidRPr="00BB7B9A">
        <w:rPr>
          <w:rFonts w:ascii="Times New Roman" w:hAnsi="Times New Roman" w:cs="Times New Roman" w:hint="eastAsia"/>
          <w:sz w:val="22"/>
        </w:rPr>
        <w:t xml:space="preserve"> authenticity of glossolalia is often put to test by the community.  </w:t>
      </w:r>
      <w:r w:rsidRPr="00BB7B9A">
        <w:rPr>
          <w:rFonts w:ascii="Times New Roman" w:hAnsi="Times New Roman" w:cs="Times New Roman"/>
          <w:sz w:val="22"/>
        </w:rPr>
        <w:t>T</w:t>
      </w:r>
      <w:r w:rsidRPr="00BB7B9A">
        <w:rPr>
          <w:rFonts w:ascii="Times New Roman" w:hAnsi="Times New Roman" w:cs="Times New Roman" w:hint="eastAsia"/>
          <w:sz w:val="22"/>
        </w:rPr>
        <w:t xml:space="preserve">here are sometimes interpreters of </w:t>
      </w:r>
      <w:r w:rsidRPr="00BB7B9A">
        <w:rPr>
          <w:rFonts w:ascii="Times New Roman" w:hAnsi="Times New Roman" w:cs="Times New Roman"/>
          <w:sz w:val="22"/>
        </w:rPr>
        <w:t xml:space="preserve">speaking </w:t>
      </w:r>
      <w:r w:rsidRPr="00BB7B9A">
        <w:rPr>
          <w:rFonts w:ascii="Times New Roman" w:hAnsi="Times New Roman" w:cs="Times New Roman" w:hint="eastAsia"/>
          <w:sz w:val="22"/>
        </w:rPr>
        <w:t>in</w:t>
      </w:r>
      <w:r w:rsidRPr="00BB7B9A">
        <w:rPr>
          <w:rFonts w:ascii="Times New Roman" w:hAnsi="Times New Roman" w:cs="Times New Roman"/>
          <w:sz w:val="22"/>
        </w:rPr>
        <w:t xml:space="preserve"> tongues </w:t>
      </w:r>
      <w:r w:rsidRPr="00BB7B9A">
        <w:rPr>
          <w:rFonts w:ascii="Times New Roman" w:hAnsi="Times New Roman" w:cs="Times New Roman" w:hint="eastAsia"/>
          <w:sz w:val="22"/>
        </w:rPr>
        <w:t xml:space="preserve">who </w:t>
      </w:r>
      <w:r w:rsidRPr="00BB7B9A">
        <w:rPr>
          <w:rFonts w:ascii="Times New Roman" w:hAnsi="Times New Roman" w:cs="Times New Roman"/>
          <w:sz w:val="22"/>
        </w:rPr>
        <w:t xml:space="preserve">made </w:t>
      </w:r>
      <w:r w:rsidRPr="00BB7B9A">
        <w:rPr>
          <w:rFonts w:ascii="Times New Roman" w:hAnsi="Times New Roman" w:cs="Times New Roman" w:hint="eastAsia"/>
          <w:sz w:val="22"/>
        </w:rPr>
        <w:t xml:space="preserve">it </w:t>
      </w:r>
      <w:r w:rsidRPr="00BB7B9A">
        <w:rPr>
          <w:rFonts w:ascii="Times New Roman" w:hAnsi="Times New Roman" w:cs="Times New Roman"/>
          <w:sz w:val="22"/>
        </w:rPr>
        <w:t xml:space="preserve">intelligible to the </w:t>
      </w:r>
      <w:r w:rsidRPr="00BB7B9A">
        <w:rPr>
          <w:rFonts w:ascii="Times New Roman" w:hAnsi="Times New Roman" w:cs="Times New Roman" w:hint="eastAsia"/>
          <w:sz w:val="22"/>
        </w:rPr>
        <w:t>c</w:t>
      </w:r>
      <w:r w:rsidRPr="00BB7B9A">
        <w:rPr>
          <w:rFonts w:ascii="Times New Roman" w:hAnsi="Times New Roman" w:cs="Times New Roman"/>
          <w:sz w:val="22"/>
        </w:rPr>
        <w:t>ommunity or to a</w:t>
      </w:r>
      <w:r w:rsidRPr="00BB7B9A">
        <w:rPr>
          <w:rFonts w:ascii="Times New Roman" w:hAnsi="Times New Roman" w:cs="Times New Roman" w:hint="eastAsia"/>
          <w:sz w:val="22"/>
        </w:rPr>
        <w:t xml:space="preserve"> </w:t>
      </w:r>
      <w:r w:rsidRPr="00BB7B9A">
        <w:rPr>
          <w:rFonts w:ascii="Times New Roman" w:hAnsi="Times New Roman" w:cs="Times New Roman"/>
          <w:sz w:val="22"/>
        </w:rPr>
        <w:t>member</w:t>
      </w:r>
      <w:r w:rsidRPr="00BB7B9A">
        <w:rPr>
          <w:rFonts w:ascii="Times New Roman" w:hAnsi="Times New Roman" w:cs="Times New Roman" w:hint="eastAsia"/>
          <w:sz w:val="22"/>
        </w:rPr>
        <w:t xml:space="preserve"> of it.  </w:t>
      </w:r>
      <w:r w:rsidRPr="00BB7B9A">
        <w:rPr>
          <w:rFonts w:ascii="Times New Roman" w:hAnsi="Times New Roman" w:cs="Times New Roman"/>
          <w:sz w:val="22"/>
        </w:rPr>
        <w:t>W</w:t>
      </w:r>
      <w:r w:rsidRPr="00BB7B9A">
        <w:rPr>
          <w:rFonts w:ascii="Times New Roman" w:hAnsi="Times New Roman" w:cs="Times New Roman" w:hint="eastAsia"/>
          <w:sz w:val="22"/>
        </w:rPr>
        <w:t xml:space="preserve">hat is important is that any interpretation </w:t>
      </w:r>
      <w:r w:rsidRPr="00BB7B9A">
        <w:rPr>
          <w:rFonts w:ascii="Times New Roman" w:hAnsi="Times New Roman" w:cs="Times New Roman"/>
          <w:sz w:val="22"/>
        </w:rPr>
        <w:t>would</w:t>
      </w:r>
      <w:r w:rsidRPr="00BB7B9A">
        <w:rPr>
          <w:rFonts w:ascii="Times New Roman" w:hAnsi="Times New Roman" w:cs="Times New Roman" w:hint="eastAsia"/>
          <w:sz w:val="22"/>
        </w:rPr>
        <w:t xml:space="preserve"> not be admitted as being a message from God. </w:t>
      </w:r>
    </w:p>
    <w:p w:rsidR="00E87C3B" w:rsidRPr="00BB7B9A" w:rsidRDefault="00E87C3B" w:rsidP="00BB7B9A">
      <w:pPr>
        <w:wordWrap/>
        <w:spacing w:line="360" w:lineRule="auto"/>
        <w:jc w:val="left"/>
        <w:rPr>
          <w:rFonts w:ascii="Times New Roman" w:hAnsi="Times New Roman" w:cs="Times New Roman"/>
          <w:sz w:val="22"/>
        </w:rPr>
      </w:pPr>
    </w:p>
    <w:p w:rsidR="00212519" w:rsidRPr="002C78A9" w:rsidRDefault="002C78A9" w:rsidP="002C78A9">
      <w:pPr>
        <w:pStyle w:val="a9"/>
        <w:numPr>
          <w:ilvl w:val="0"/>
          <w:numId w:val="28"/>
        </w:numPr>
        <w:spacing w:line="360" w:lineRule="auto"/>
        <w:ind w:leftChars="0"/>
        <w:rPr>
          <w:rFonts w:hint="eastAsia"/>
          <w:sz w:val="22"/>
        </w:rPr>
      </w:pPr>
      <w:r>
        <w:rPr>
          <w:rFonts w:eastAsiaTheme="minorEastAsia" w:hint="eastAsia"/>
          <w:sz w:val="22"/>
          <w:lang w:eastAsia="ko-KR"/>
        </w:rPr>
        <w:t xml:space="preserve">Concluding Remarks </w:t>
      </w:r>
    </w:p>
    <w:p w:rsidR="002C78A9" w:rsidRDefault="002C78A9" w:rsidP="00BB7B9A">
      <w:pPr>
        <w:wordWrap/>
        <w:spacing w:line="360" w:lineRule="auto"/>
        <w:jc w:val="left"/>
        <w:rPr>
          <w:rFonts w:ascii="Times New Roman" w:hAnsi="Times New Roman" w:cs="Times New Roman" w:hint="eastAsia"/>
          <w:sz w:val="22"/>
        </w:rPr>
      </w:pPr>
    </w:p>
    <w:p w:rsidR="00E87C3B" w:rsidRPr="00BB7B9A" w:rsidRDefault="00E87C3B" w:rsidP="00BF696D">
      <w:pPr>
        <w:wordWrap/>
        <w:spacing w:line="360" w:lineRule="auto"/>
        <w:jc w:val="left"/>
        <w:rPr>
          <w:rFonts w:ascii="Times New Roman" w:hAnsi="Times New Roman" w:cs="Times New Roman"/>
          <w:sz w:val="22"/>
        </w:rPr>
      </w:pPr>
      <w:r w:rsidRPr="00BB7B9A">
        <w:rPr>
          <w:rFonts w:ascii="Times New Roman" w:hAnsi="Times New Roman" w:cs="Times New Roman"/>
          <w:sz w:val="22"/>
        </w:rPr>
        <w:t xml:space="preserve">Thus far, the conceptual problems in employing the concept of the sacred have been discussed. </w:t>
      </w:r>
      <w:r w:rsidR="00BF696D">
        <w:rPr>
          <w:rFonts w:ascii="Times New Roman" w:hAnsi="Times New Roman" w:cs="Times New Roman" w:hint="eastAsia"/>
          <w:sz w:val="22"/>
        </w:rPr>
        <w:t xml:space="preserve"> </w:t>
      </w:r>
      <w:r w:rsidR="00BF696D" w:rsidRPr="00BB7B9A">
        <w:rPr>
          <w:rFonts w:ascii="Times New Roman" w:hAnsi="Times New Roman" w:cs="Times New Roman"/>
          <w:sz w:val="22"/>
        </w:rPr>
        <w:t>The</w:t>
      </w:r>
      <w:r w:rsidR="00BF696D" w:rsidRPr="00BB7B9A">
        <w:rPr>
          <w:rFonts w:ascii="Times New Roman" w:hAnsi="Times New Roman" w:cs="Times New Roman" w:hint="eastAsia"/>
          <w:sz w:val="22"/>
        </w:rPr>
        <w:t xml:space="preserve"> sacred reality has been a kind of mystery in </w:t>
      </w:r>
      <w:r w:rsidR="00BF696D" w:rsidRPr="00BB7B9A">
        <w:rPr>
          <w:rFonts w:ascii="Times New Roman" w:hAnsi="Times New Roman" w:cs="Times New Roman"/>
          <w:sz w:val="22"/>
        </w:rPr>
        <w:t>the</w:t>
      </w:r>
      <w:r w:rsidR="00BF696D" w:rsidRPr="00BB7B9A">
        <w:rPr>
          <w:rFonts w:ascii="Times New Roman" w:hAnsi="Times New Roman" w:cs="Times New Roman" w:hint="eastAsia"/>
          <w:sz w:val="22"/>
        </w:rPr>
        <w:t xml:space="preserve"> sociology of religion in spite of the fact that it has been heralded as a fundamental category that makes religion somehow distinct, </w:t>
      </w:r>
      <w:r w:rsidR="00BF696D" w:rsidRPr="00BB7B9A">
        <w:rPr>
          <w:rFonts w:ascii="Times New Roman" w:hAnsi="Times New Roman" w:cs="Times New Roman" w:hint="eastAsia"/>
          <w:i/>
          <w:sz w:val="22"/>
        </w:rPr>
        <w:t>sui generis</w:t>
      </w:r>
      <w:r w:rsidR="00BF696D" w:rsidRPr="00BB7B9A">
        <w:rPr>
          <w:rFonts w:ascii="Times New Roman" w:hAnsi="Times New Roman" w:cs="Times New Roman" w:hint="eastAsia"/>
          <w:sz w:val="22"/>
        </w:rPr>
        <w:t xml:space="preserve"> and unique.   </w:t>
      </w:r>
      <w:r w:rsidR="00BF696D" w:rsidRPr="00BB7B9A">
        <w:rPr>
          <w:rFonts w:ascii="Times New Roman" w:hAnsi="Times New Roman" w:cs="Times New Roman"/>
          <w:sz w:val="22"/>
        </w:rPr>
        <w:t>E</w:t>
      </w:r>
      <w:r w:rsidR="00BF696D" w:rsidRPr="00BB7B9A">
        <w:rPr>
          <w:rFonts w:ascii="Times New Roman" w:hAnsi="Times New Roman" w:cs="Times New Roman" w:hint="eastAsia"/>
          <w:sz w:val="22"/>
        </w:rPr>
        <w:t xml:space="preserve">ither it is explained away by being reduced to social reality (Durkheim) or it remains mysterious (the phenomenological tradition and the materialist tradition). </w:t>
      </w:r>
      <w:r w:rsidR="00BF696D">
        <w:rPr>
          <w:rFonts w:ascii="Times New Roman" w:hAnsi="Times New Roman" w:cs="Times New Roman" w:hint="eastAsia"/>
          <w:sz w:val="22"/>
        </w:rPr>
        <w:t xml:space="preserve"> However, t</w:t>
      </w:r>
      <w:r w:rsidRPr="00BB7B9A">
        <w:rPr>
          <w:rFonts w:ascii="Times New Roman" w:hAnsi="Times New Roman" w:cs="Times New Roman"/>
          <w:sz w:val="22"/>
        </w:rPr>
        <w:t xml:space="preserve">his </w:t>
      </w:r>
      <w:r w:rsidR="00BF696D">
        <w:rPr>
          <w:rFonts w:ascii="Times New Roman" w:hAnsi="Times New Roman" w:cs="Times New Roman" w:hint="eastAsia"/>
          <w:sz w:val="22"/>
        </w:rPr>
        <w:t>essay</w:t>
      </w:r>
      <w:r w:rsidRPr="00BB7B9A">
        <w:rPr>
          <w:rFonts w:ascii="Times New Roman" w:hAnsi="Times New Roman" w:cs="Times New Roman"/>
          <w:sz w:val="22"/>
        </w:rPr>
        <w:t xml:space="preserve"> argues that Wittgenstein’s discussion of the relationship between language and reality offers a way to look at the sacred reality meaningfully</w:t>
      </w:r>
      <w:r w:rsidR="00BF696D">
        <w:rPr>
          <w:rFonts w:ascii="Times New Roman" w:hAnsi="Times New Roman" w:cs="Times New Roman" w:hint="eastAsia"/>
          <w:sz w:val="22"/>
        </w:rPr>
        <w:t xml:space="preserve"> or intelligibly, and suggests</w:t>
      </w:r>
      <w:r w:rsidRPr="00BB7B9A">
        <w:rPr>
          <w:rFonts w:ascii="Times New Roman" w:hAnsi="Times New Roman" w:cs="Times New Roman"/>
          <w:sz w:val="22"/>
        </w:rPr>
        <w:t xml:space="preserve"> that the place of the sacred will be found in the web of grammars employed by humans in their religious practices.  In Hammond’s (1991) words, “the sacred lurks, waiting to be identified” (126). </w:t>
      </w:r>
    </w:p>
    <w:p w:rsidR="00E87C3B" w:rsidRPr="00BB7B9A" w:rsidRDefault="00E87C3B" w:rsidP="00BB7B9A">
      <w:pPr>
        <w:wordWrap/>
        <w:spacing w:line="360" w:lineRule="auto"/>
        <w:ind w:firstLine="800"/>
        <w:jc w:val="left"/>
        <w:rPr>
          <w:rFonts w:ascii="Times New Roman" w:hAnsi="Times New Roman" w:cs="Times New Roman"/>
          <w:sz w:val="22"/>
        </w:rPr>
      </w:pPr>
      <w:r w:rsidRPr="00BB7B9A">
        <w:rPr>
          <w:rFonts w:ascii="Times New Roman" w:hAnsi="Times New Roman" w:cs="Times New Roman"/>
          <w:sz w:val="22"/>
        </w:rPr>
        <w:t>Wittgenstein’s idea that reality does not exist beyond language but rather comes to expression within it shed a new light on understanding religious phenomena, particularly, the sacred reality which has been regarded as mysterious.</w:t>
      </w:r>
      <w:r w:rsidR="001D3F98">
        <w:rPr>
          <w:rFonts w:ascii="Times New Roman" w:hAnsi="Times New Roman" w:cs="Times New Roman" w:hint="eastAsia"/>
          <w:sz w:val="22"/>
        </w:rPr>
        <w:t xml:space="preserve"> </w:t>
      </w:r>
      <w:r w:rsidRPr="00BB7B9A">
        <w:rPr>
          <w:rFonts w:ascii="Times New Roman" w:hAnsi="Times New Roman" w:cs="Times New Roman"/>
          <w:sz w:val="22"/>
        </w:rPr>
        <w:t xml:space="preserve"> With the disappearance of the picture theory of </w:t>
      </w:r>
      <w:r w:rsidRPr="00BB7B9A">
        <w:rPr>
          <w:rFonts w:ascii="Times New Roman" w:hAnsi="Times New Roman" w:cs="Times New Roman"/>
          <w:sz w:val="22"/>
        </w:rPr>
        <w:lastRenderedPageBreak/>
        <w:t>language, the special status of nonsensicality which religious expressions formerly enjoyed has disappeared.  “It would seem that they had ceased to be nonsensical, that they had become modes of discourse like any other, with their own rules of conduct, unlike, and independent of, all other rules of conduct.  Within these rules what they say is sayable, at least for anyone who is prepared to accept the rules” (Barrett 1991, 121).   No longer the infinite gulf between what can be said, i.e., the expressible, and what cannot be said, i.e. the inexpressible exists.  After repudiating the atomistic picture, he moves his philosophical interest to the actual workings of language, the doctrine of the ineffability of absolute value is abandoned and the religious expressions come to have meaning in religious practices.  There is nothing ineffable about religion, but a proper understanding of religious utterances requires an apprehension of its role within the distinctive form of life or culture to which it belongs (Hacker 2001</w:t>
      </w:r>
      <w:r w:rsidRPr="00BB7B9A">
        <w:rPr>
          <w:rFonts w:ascii="Times New Roman" w:hAnsi="Times New Roman" w:cs="Times New Roman" w:hint="eastAsia"/>
          <w:sz w:val="22"/>
        </w:rPr>
        <w:t>,</w:t>
      </w:r>
      <w:r w:rsidRPr="00BB7B9A">
        <w:rPr>
          <w:rFonts w:ascii="Times New Roman" w:hAnsi="Times New Roman" w:cs="Times New Roman"/>
          <w:sz w:val="22"/>
        </w:rPr>
        <w:t xml:space="preserve"> 39). </w:t>
      </w:r>
    </w:p>
    <w:p w:rsidR="00E87C3B" w:rsidRDefault="00E87C3B" w:rsidP="00BB7B9A">
      <w:pPr>
        <w:wordWrap/>
        <w:spacing w:line="360" w:lineRule="auto"/>
        <w:ind w:firstLine="800"/>
        <w:jc w:val="left"/>
        <w:rPr>
          <w:rFonts w:ascii="Times New Roman" w:hAnsi="Times New Roman" w:cs="Times New Roman" w:hint="eastAsia"/>
          <w:sz w:val="22"/>
        </w:rPr>
      </w:pPr>
      <w:r w:rsidRPr="00BB7B9A">
        <w:rPr>
          <w:rFonts w:ascii="Times New Roman" w:hAnsi="Times New Roman" w:cs="Times New Roman"/>
          <w:sz w:val="22"/>
        </w:rPr>
        <w:t>The transition from ‘the mystical’ to ‘practice’ implies that religious phenomena can be object</w:t>
      </w:r>
      <w:r w:rsidRPr="00BB7B9A">
        <w:rPr>
          <w:rFonts w:ascii="Times New Roman" w:hAnsi="Times New Roman" w:cs="Times New Roman" w:hint="eastAsia"/>
          <w:sz w:val="22"/>
        </w:rPr>
        <w:t>s</w:t>
      </w:r>
      <w:r w:rsidRPr="00BB7B9A">
        <w:rPr>
          <w:rFonts w:ascii="Times New Roman" w:hAnsi="Times New Roman" w:cs="Times New Roman"/>
          <w:sz w:val="22"/>
        </w:rPr>
        <w:t xml:space="preserve"> of understanding whose meaning can be known via a systematic elucidation of </w:t>
      </w:r>
      <w:r w:rsidRPr="00BB7B9A">
        <w:rPr>
          <w:rFonts w:ascii="Times New Roman" w:hAnsi="Times New Roman" w:cs="Times New Roman" w:hint="eastAsia"/>
          <w:sz w:val="22"/>
        </w:rPr>
        <w:t>their</w:t>
      </w:r>
      <w:r w:rsidRPr="00BB7B9A">
        <w:rPr>
          <w:rFonts w:ascii="Times New Roman" w:hAnsi="Times New Roman" w:cs="Times New Roman"/>
          <w:sz w:val="22"/>
        </w:rPr>
        <w:t xml:space="preserve"> grammar.   Wittgenstein no longer sees religious propositions as nonsensical or inexpressible.  What an expression means can be specified in terms of its use in the respective language games (</w:t>
      </w:r>
      <w:r w:rsidRPr="00BB7B9A">
        <w:rPr>
          <w:rFonts w:ascii="Times New Roman" w:hAnsi="Times New Roman" w:cs="Times New Roman"/>
          <w:i/>
          <w:sz w:val="22"/>
        </w:rPr>
        <w:t>PI</w:t>
      </w:r>
      <w:r w:rsidRPr="00BB7B9A">
        <w:rPr>
          <w:rFonts w:ascii="Times New Roman" w:hAnsi="Times New Roman" w:cs="Times New Roman"/>
          <w:sz w:val="22"/>
        </w:rPr>
        <w:t xml:space="preserve"> §43</w:t>
      </w:r>
      <w:r w:rsidRPr="00BB7B9A">
        <w:rPr>
          <w:rFonts w:ascii="Times New Roman" w:hAnsi="Times New Roman" w:cs="Times New Roman" w:hint="eastAsia"/>
          <w:sz w:val="22"/>
        </w:rPr>
        <w:t>;</w:t>
      </w:r>
      <w:r w:rsidRPr="00BB7B9A">
        <w:rPr>
          <w:rFonts w:ascii="Times New Roman" w:hAnsi="Times New Roman" w:cs="Times New Roman"/>
          <w:sz w:val="22"/>
        </w:rPr>
        <w:t xml:space="preserve"> §560; </w:t>
      </w:r>
      <w:r w:rsidRPr="00BB7B9A">
        <w:rPr>
          <w:rFonts w:ascii="Times New Roman" w:hAnsi="Times New Roman" w:cs="Times New Roman"/>
          <w:i/>
          <w:sz w:val="22"/>
        </w:rPr>
        <w:t>Z</w:t>
      </w:r>
      <w:r w:rsidRPr="00BB7B9A">
        <w:rPr>
          <w:rFonts w:ascii="Times New Roman" w:hAnsi="Times New Roman" w:cs="Times New Roman"/>
          <w:sz w:val="22"/>
        </w:rPr>
        <w:t xml:space="preserve"> §173; </w:t>
      </w:r>
      <w:r w:rsidRPr="00BB7B9A">
        <w:rPr>
          <w:rFonts w:ascii="Times New Roman" w:hAnsi="Times New Roman" w:cs="Times New Roman"/>
          <w:i/>
          <w:sz w:val="22"/>
        </w:rPr>
        <w:t>CV</w:t>
      </w:r>
      <w:r w:rsidRPr="00BB7B9A">
        <w:rPr>
          <w:rFonts w:ascii="Times New Roman" w:hAnsi="Times New Roman" w:cs="Times New Roman"/>
          <w:sz w:val="22"/>
        </w:rPr>
        <w:t xml:space="preserve">, 85e), or by making explicit the respective constitutive grammatical rules of the practice in question. </w:t>
      </w:r>
      <w:r w:rsidR="00C6165F">
        <w:rPr>
          <w:rFonts w:ascii="Times New Roman" w:hAnsi="Times New Roman" w:cs="Times New Roman" w:hint="eastAsia"/>
          <w:sz w:val="22"/>
        </w:rPr>
        <w:t xml:space="preserve"> </w:t>
      </w:r>
      <w:r w:rsidRPr="00BB7B9A">
        <w:rPr>
          <w:rFonts w:ascii="Times New Roman" w:hAnsi="Times New Roman" w:cs="Times New Roman"/>
          <w:sz w:val="22"/>
        </w:rPr>
        <w:t>Wittgenstein’s notion of a ‘family resemblance’ provides a way of thinking about religion without resorting to an essential element, e.g., god, the sacred, transcendence, the holy etc.  Wittgenstein denounces the ‘contemptuous attitude towards the particular case’ as based on a misguided ‘craving for generality’ (</w:t>
      </w:r>
      <w:r w:rsidRPr="00BB7B9A">
        <w:rPr>
          <w:rFonts w:ascii="Times New Roman" w:hAnsi="Times New Roman" w:cs="Times New Roman"/>
          <w:i/>
          <w:sz w:val="22"/>
        </w:rPr>
        <w:t>BB</w:t>
      </w:r>
      <w:r w:rsidRPr="00BB7B9A">
        <w:rPr>
          <w:rFonts w:ascii="Times New Roman" w:hAnsi="Times New Roman" w:cs="Times New Roman"/>
          <w:sz w:val="22"/>
        </w:rPr>
        <w:t>, 17-18), and introduces</w:t>
      </w:r>
      <w:r w:rsidRPr="00BB7B9A">
        <w:rPr>
          <w:rFonts w:ascii="Times New Roman" w:hAnsi="Times New Roman" w:cs="Times New Roman"/>
          <w:iCs/>
          <w:sz w:val="22"/>
        </w:rPr>
        <w:t xml:space="preserve"> the notion of a family resemblance </w:t>
      </w:r>
      <w:r w:rsidRPr="00BB7B9A">
        <w:rPr>
          <w:rFonts w:ascii="Times New Roman" w:hAnsi="Times New Roman" w:cs="Times New Roman"/>
          <w:sz w:val="22"/>
        </w:rPr>
        <w:t xml:space="preserve">to help us understand how some concepts actually work and how they function in language.  The basic idea of this notion is that things which may be thought to be connected by one essential common feature may in fact be connected by a series of overlapping similarities, where no one feature is common to all. </w:t>
      </w:r>
      <w:r w:rsidR="00BF696D">
        <w:rPr>
          <w:rFonts w:ascii="Times New Roman" w:hAnsi="Times New Roman" w:cs="Times New Roman" w:hint="eastAsia"/>
          <w:sz w:val="22"/>
        </w:rPr>
        <w:t xml:space="preserve"> </w:t>
      </w:r>
      <w:r w:rsidRPr="00BB7B9A">
        <w:rPr>
          <w:rFonts w:ascii="Times New Roman" w:hAnsi="Times New Roman" w:cs="Times New Roman" w:hint="eastAsia"/>
          <w:sz w:val="22"/>
        </w:rPr>
        <w:t xml:space="preserve">The turn toward </w:t>
      </w:r>
      <w:r w:rsidRPr="00BB7B9A">
        <w:rPr>
          <w:rFonts w:ascii="Times New Roman" w:hAnsi="Times New Roman" w:cs="Times New Roman"/>
          <w:sz w:val="22"/>
        </w:rPr>
        <w:t xml:space="preserve">a family resemblance </w:t>
      </w:r>
      <w:r w:rsidRPr="00BB7B9A">
        <w:rPr>
          <w:rFonts w:ascii="Times New Roman" w:hAnsi="Times New Roman" w:cs="Times New Roman" w:hint="eastAsia"/>
          <w:sz w:val="22"/>
        </w:rPr>
        <w:t xml:space="preserve">concept of religion </w:t>
      </w:r>
      <w:r w:rsidRPr="00BB7B9A">
        <w:rPr>
          <w:rFonts w:ascii="Times New Roman" w:hAnsi="Times New Roman" w:cs="Times New Roman"/>
          <w:sz w:val="22"/>
        </w:rPr>
        <w:t xml:space="preserve">leads us to examine religious concepts in the contexts from which they derive their meaning, that is, to elucidate the distinctive character – the specific grammar – of religious discourse by </w:t>
      </w:r>
      <w:r w:rsidRPr="00BB7B9A">
        <w:rPr>
          <w:rFonts w:ascii="Times New Roman" w:hAnsi="Times New Roman" w:cs="Times New Roman" w:hint="eastAsia"/>
          <w:sz w:val="22"/>
        </w:rPr>
        <w:t xml:space="preserve">paying </w:t>
      </w:r>
      <w:r w:rsidRPr="00BB7B9A">
        <w:rPr>
          <w:rFonts w:ascii="Times New Roman" w:hAnsi="Times New Roman" w:cs="Times New Roman"/>
          <w:sz w:val="22"/>
        </w:rPr>
        <w:t xml:space="preserve">careful attention to the way in which religious language works in practice. </w:t>
      </w:r>
    </w:p>
    <w:p w:rsidR="00E87C3B" w:rsidRPr="00BB7B9A" w:rsidRDefault="00E87C3B" w:rsidP="00BB7B9A">
      <w:pPr>
        <w:wordWrap/>
        <w:spacing w:line="360" w:lineRule="auto"/>
        <w:ind w:firstLine="720"/>
        <w:jc w:val="left"/>
        <w:rPr>
          <w:rFonts w:ascii="Times New Roman" w:hAnsi="Times New Roman" w:cs="Times New Roman"/>
          <w:sz w:val="22"/>
        </w:rPr>
      </w:pPr>
      <w:r w:rsidRPr="00BB7B9A">
        <w:rPr>
          <w:rFonts w:ascii="Times New Roman" w:hAnsi="Times New Roman" w:cs="Times New Roman" w:hint="eastAsia"/>
          <w:sz w:val="22"/>
        </w:rPr>
        <w:t>Wittgenstein</w:t>
      </w:r>
      <w:r w:rsidRPr="00BB7B9A">
        <w:rPr>
          <w:rFonts w:ascii="Times New Roman" w:hAnsi="Times New Roman" w:cs="Times New Roman"/>
          <w:sz w:val="22"/>
        </w:rPr>
        <w:t>’</w:t>
      </w:r>
      <w:r w:rsidRPr="00BB7B9A">
        <w:rPr>
          <w:rFonts w:ascii="Times New Roman" w:hAnsi="Times New Roman" w:cs="Times New Roman" w:hint="eastAsia"/>
          <w:sz w:val="22"/>
        </w:rPr>
        <w:t xml:space="preserve">s later philosophy is characterized as a pursuit of perspicuity, i.e., </w:t>
      </w:r>
      <w:r w:rsidRPr="00BB7B9A">
        <w:rPr>
          <w:rFonts w:ascii="Times New Roman" w:hAnsi="Times New Roman" w:cs="Times New Roman"/>
          <w:sz w:val="22"/>
        </w:rPr>
        <w:t>the</w:t>
      </w:r>
      <w:r w:rsidRPr="00BB7B9A">
        <w:rPr>
          <w:rFonts w:ascii="Times New Roman" w:hAnsi="Times New Roman" w:cs="Times New Roman" w:hint="eastAsia"/>
          <w:sz w:val="22"/>
        </w:rPr>
        <w:t xml:space="preserve"> clear view of language use.  For </w:t>
      </w:r>
      <w:r w:rsidRPr="00BB7B9A">
        <w:rPr>
          <w:rFonts w:ascii="Times New Roman" w:hAnsi="Times New Roman" w:cs="Times New Roman"/>
          <w:sz w:val="22"/>
        </w:rPr>
        <w:t>the</w:t>
      </w:r>
      <w:r w:rsidRPr="00BB7B9A">
        <w:rPr>
          <w:rFonts w:ascii="Times New Roman" w:hAnsi="Times New Roman" w:cs="Times New Roman" w:hint="eastAsia"/>
          <w:sz w:val="22"/>
        </w:rPr>
        <w:t xml:space="preserve"> purpose, Wittgenstein encourages us not to confuse grammatical propositions with empirical propositions.  </w:t>
      </w:r>
      <w:r w:rsidRPr="00BB7B9A">
        <w:rPr>
          <w:rFonts w:ascii="Times New Roman" w:hAnsi="Times New Roman" w:cs="Times New Roman"/>
          <w:sz w:val="22"/>
        </w:rPr>
        <w:t>T</w:t>
      </w:r>
      <w:r w:rsidRPr="00BB7B9A">
        <w:rPr>
          <w:rFonts w:ascii="Times New Roman" w:hAnsi="Times New Roman" w:cs="Times New Roman" w:hint="eastAsia"/>
          <w:sz w:val="22"/>
        </w:rPr>
        <w:t xml:space="preserve">he conclusion is that the grammar tells what the sacred reality is.  Religion is </w:t>
      </w:r>
      <w:r w:rsidRPr="00BB7B9A">
        <w:rPr>
          <w:rFonts w:ascii="Times New Roman" w:hAnsi="Times New Roman" w:cs="Times New Roman"/>
          <w:i/>
          <w:sz w:val="22"/>
        </w:rPr>
        <w:t>practi</w:t>
      </w:r>
      <w:r w:rsidRPr="00BB7B9A">
        <w:rPr>
          <w:rFonts w:ascii="Times New Roman" w:hAnsi="Times New Roman" w:cs="Times New Roman" w:hint="eastAsia"/>
          <w:i/>
          <w:sz w:val="22"/>
        </w:rPr>
        <w:t>s</w:t>
      </w:r>
      <w:r w:rsidRPr="00BB7B9A">
        <w:rPr>
          <w:rFonts w:ascii="Times New Roman" w:hAnsi="Times New Roman" w:cs="Times New Roman"/>
          <w:i/>
          <w:sz w:val="22"/>
        </w:rPr>
        <w:t>ed</w:t>
      </w:r>
      <w:r w:rsidRPr="00BB7B9A">
        <w:rPr>
          <w:rFonts w:ascii="Times New Roman" w:hAnsi="Times New Roman" w:cs="Times New Roman" w:hint="eastAsia"/>
          <w:sz w:val="22"/>
        </w:rPr>
        <w:t xml:space="preserve">, and therefore religion is </w:t>
      </w:r>
      <w:r w:rsidRPr="00BB7B9A">
        <w:rPr>
          <w:rFonts w:ascii="Times New Roman" w:hAnsi="Times New Roman" w:cs="Times New Roman" w:hint="eastAsia"/>
          <w:i/>
          <w:sz w:val="22"/>
        </w:rPr>
        <w:t>expressible</w:t>
      </w:r>
      <w:r w:rsidRPr="00BB7B9A">
        <w:rPr>
          <w:rFonts w:ascii="Times New Roman" w:hAnsi="Times New Roman" w:cs="Times New Roman" w:hint="eastAsia"/>
          <w:sz w:val="22"/>
        </w:rPr>
        <w:t xml:space="preserve">.  </w:t>
      </w:r>
    </w:p>
    <w:p w:rsidR="00997626" w:rsidRDefault="00997626" w:rsidP="00997626">
      <w:pPr>
        <w:ind w:left="840" w:hangingChars="350" w:hanging="840"/>
        <w:jc w:val="left"/>
        <w:rPr>
          <w:rFonts w:ascii="Times New Roman" w:hAnsi="Times New Roman" w:cs="Times New Roman" w:hint="eastAsia"/>
          <w:sz w:val="24"/>
          <w:szCs w:val="24"/>
        </w:rPr>
      </w:pPr>
    </w:p>
    <w:p w:rsidR="00D852AC" w:rsidRDefault="00D852AC" w:rsidP="00997626">
      <w:pPr>
        <w:ind w:left="840" w:hangingChars="350" w:hanging="840"/>
        <w:jc w:val="left"/>
        <w:rPr>
          <w:rFonts w:ascii="Times New Roman" w:hAnsi="Times New Roman" w:cs="Times New Roman" w:hint="eastAsia"/>
          <w:sz w:val="24"/>
          <w:szCs w:val="24"/>
        </w:rPr>
      </w:pPr>
    </w:p>
    <w:p w:rsidR="00D852AC" w:rsidRDefault="00D852AC" w:rsidP="00997626">
      <w:pPr>
        <w:ind w:left="840" w:hangingChars="350" w:hanging="840"/>
        <w:jc w:val="left"/>
        <w:rPr>
          <w:rFonts w:ascii="Times New Roman" w:hAnsi="Times New Roman" w:cs="Times New Roman" w:hint="eastAsia"/>
          <w:sz w:val="24"/>
          <w:szCs w:val="24"/>
        </w:rPr>
      </w:pPr>
    </w:p>
    <w:p w:rsidR="00D852AC" w:rsidRDefault="00D852AC" w:rsidP="00997626">
      <w:pPr>
        <w:ind w:left="840" w:hangingChars="350" w:hanging="840"/>
        <w:jc w:val="left"/>
        <w:rPr>
          <w:rFonts w:ascii="Times New Roman" w:hAnsi="Times New Roman" w:cs="Times New Roman" w:hint="eastAsia"/>
          <w:sz w:val="24"/>
          <w:szCs w:val="24"/>
        </w:rPr>
      </w:pPr>
    </w:p>
    <w:p w:rsidR="00D852AC" w:rsidRDefault="00D852AC" w:rsidP="00997626">
      <w:pPr>
        <w:ind w:left="840" w:hangingChars="350" w:hanging="840"/>
        <w:jc w:val="left"/>
        <w:rPr>
          <w:rFonts w:ascii="Times New Roman" w:hAnsi="Times New Roman" w:cs="Times New Roman" w:hint="eastAsia"/>
          <w:sz w:val="24"/>
          <w:szCs w:val="24"/>
        </w:rPr>
      </w:pPr>
    </w:p>
    <w:p w:rsidR="00D852AC" w:rsidRDefault="00D852AC" w:rsidP="00997626">
      <w:pPr>
        <w:ind w:left="840" w:hangingChars="350" w:hanging="840"/>
        <w:jc w:val="left"/>
        <w:rPr>
          <w:rFonts w:ascii="Times New Roman" w:hAnsi="Times New Roman" w:cs="Times New Roman" w:hint="eastAsia"/>
          <w:sz w:val="24"/>
          <w:szCs w:val="24"/>
        </w:rPr>
      </w:pPr>
    </w:p>
    <w:p w:rsidR="00D852AC" w:rsidRDefault="00D852AC" w:rsidP="00997626">
      <w:pPr>
        <w:ind w:left="840" w:hangingChars="350" w:hanging="840"/>
        <w:jc w:val="left"/>
        <w:rPr>
          <w:rFonts w:ascii="Times New Roman" w:hAnsi="Times New Roman" w:cs="Times New Roman" w:hint="eastAsia"/>
          <w:sz w:val="24"/>
          <w:szCs w:val="24"/>
        </w:rPr>
      </w:pPr>
    </w:p>
    <w:p w:rsidR="00D852AC" w:rsidRDefault="00D852AC" w:rsidP="00997626">
      <w:pPr>
        <w:ind w:left="840" w:hangingChars="350" w:hanging="840"/>
        <w:jc w:val="left"/>
        <w:rPr>
          <w:rFonts w:ascii="Times New Roman" w:hAnsi="Times New Roman" w:cs="Times New Roman" w:hint="eastAsia"/>
          <w:sz w:val="24"/>
          <w:szCs w:val="24"/>
        </w:rPr>
      </w:pPr>
    </w:p>
    <w:p w:rsidR="00997626" w:rsidRPr="00D852AC" w:rsidRDefault="00997626" w:rsidP="00D852AC">
      <w:pPr>
        <w:ind w:left="770" w:hangingChars="350" w:hanging="770"/>
        <w:jc w:val="left"/>
        <w:rPr>
          <w:rFonts w:ascii="Times New Roman" w:hAnsi="Times New Roman" w:cs="Times New Roman"/>
          <w:sz w:val="22"/>
        </w:rPr>
      </w:pPr>
      <w:r w:rsidRPr="00D852AC">
        <w:rPr>
          <w:rFonts w:ascii="Times New Roman" w:hAnsi="Times New Roman" w:cs="Times New Roman" w:hint="eastAsia"/>
          <w:sz w:val="22"/>
        </w:rPr>
        <w:lastRenderedPageBreak/>
        <w:t>[Abbreviations]</w:t>
      </w:r>
    </w:p>
    <w:p w:rsidR="00D852AC" w:rsidRDefault="00D852AC" w:rsidP="00D852AC">
      <w:pPr>
        <w:ind w:left="770" w:hangingChars="350" w:hanging="770"/>
        <w:jc w:val="left"/>
        <w:rPr>
          <w:rFonts w:ascii="Times New Roman" w:hAnsi="Times New Roman" w:cs="Times New Roman" w:hint="eastAsia"/>
          <w:sz w:val="22"/>
        </w:rPr>
      </w:pPr>
    </w:p>
    <w:p w:rsidR="00997626" w:rsidRPr="00D852AC" w:rsidRDefault="00997626" w:rsidP="00D852AC">
      <w:pPr>
        <w:ind w:left="770" w:hangingChars="350" w:hanging="770"/>
        <w:jc w:val="left"/>
        <w:rPr>
          <w:rFonts w:ascii="Times New Roman" w:hAnsi="Times New Roman" w:cs="Times New Roman"/>
          <w:sz w:val="22"/>
        </w:rPr>
      </w:pPr>
      <w:r w:rsidRPr="00D852AC">
        <w:rPr>
          <w:rFonts w:ascii="Times New Roman" w:hAnsi="Times New Roman" w:cs="Times New Roman"/>
          <w:sz w:val="22"/>
        </w:rPr>
        <w:t>BB</w:t>
      </w:r>
      <w:r w:rsidRPr="00D852AC">
        <w:rPr>
          <w:rFonts w:ascii="Times New Roman" w:hAnsi="Times New Roman" w:cs="Times New Roman"/>
          <w:sz w:val="22"/>
        </w:rPr>
        <w:tab/>
        <w:t xml:space="preserve">(1958) </w:t>
      </w:r>
      <w:r w:rsidRPr="00D852AC">
        <w:rPr>
          <w:rFonts w:ascii="Times New Roman" w:hAnsi="Times New Roman" w:cs="Times New Roman"/>
          <w:i/>
          <w:sz w:val="22"/>
        </w:rPr>
        <w:t>The Blue and Brown Books</w:t>
      </w:r>
      <w:r w:rsidRPr="00D852AC">
        <w:rPr>
          <w:rFonts w:ascii="Times New Roman" w:hAnsi="Times New Roman" w:cs="Times New Roman"/>
          <w:sz w:val="22"/>
        </w:rPr>
        <w:t>. New York: Harper &amp; Row Publishers.</w:t>
      </w:r>
    </w:p>
    <w:p w:rsidR="00997626" w:rsidRPr="00D852AC" w:rsidRDefault="00997626" w:rsidP="00D852AC">
      <w:pPr>
        <w:ind w:left="770" w:hangingChars="350" w:hanging="770"/>
        <w:jc w:val="left"/>
        <w:rPr>
          <w:rFonts w:ascii="Times New Roman" w:hAnsi="Times New Roman" w:cs="Times New Roman"/>
          <w:sz w:val="22"/>
        </w:rPr>
      </w:pPr>
      <w:r w:rsidRPr="00D852AC">
        <w:rPr>
          <w:rFonts w:ascii="Times New Roman" w:hAnsi="Times New Roman" w:cs="Times New Roman"/>
          <w:sz w:val="22"/>
        </w:rPr>
        <w:t>CV</w:t>
      </w:r>
      <w:r w:rsidRPr="00D852AC">
        <w:rPr>
          <w:rFonts w:ascii="Times New Roman" w:hAnsi="Times New Roman" w:cs="Times New Roman"/>
          <w:sz w:val="22"/>
        </w:rPr>
        <w:tab/>
        <w:t xml:space="preserve">(1980) </w:t>
      </w:r>
      <w:r w:rsidRPr="00D852AC">
        <w:rPr>
          <w:rFonts w:ascii="Times New Roman" w:hAnsi="Times New Roman" w:cs="Times New Roman"/>
          <w:i/>
          <w:sz w:val="22"/>
        </w:rPr>
        <w:t>Culture and Value</w:t>
      </w:r>
      <w:r w:rsidRPr="00D852AC">
        <w:rPr>
          <w:rFonts w:ascii="Times New Roman" w:hAnsi="Times New Roman" w:cs="Times New Roman"/>
          <w:sz w:val="22"/>
        </w:rPr>
        <w:t xml:space="preserve">, translated by Peter Winch. Chicago: The University of Chicago Press. </w:t>
      </w:r>
    </w:p>
    <w:p w:rsidR="00997626" w:rsidRPr="00D852AC" w:rsidRDefault="00997626" w:rsidP="00D852AC">
      <w:pPr>
        <w:ind w:left="770" w:hangingChars="350" w:hanging="770"/>
        <w:jc w:val="left"/>
        <w:rPr>
          <w:rFonts w:ascii="Times New Roman" w:hAnsi="Times New Roman" w:cs="Times New Roman"/>
          <w:sz w:val="22"/>
        </w:rPr>
      </w:pPr>
      <w:r w:rsidRPr="00D852AC">
        <w:rPr>
          <w:rFonts w:ascii="Times New Roman" w:hAnsi="Times New Roman" w:cs="Times New Roman"/>
          <w:sz w:val="22"/>
        </w:rPr>
        <w:t>PI</w:t>
      </w:r>
      <w:r w:rsidRPr="00D852AC">
        <w:rPr>
          <w:rFonts w:ascii="Times New Roman" w:hAnsi="Times New Roman" w:cs="Times New Roman"/>
          <w:sz w:val="22"/>
        </w:rPr>
        <w:tab/>
        <w:t xml:space="preserve">(1978) </w:t>
      </w:r>
      <w:r w:rsidRPr="00D852AC">
        <w:rPr>
          <w:rFonts w:ascii="Times New Roman" w:hAnsi="Times New Roman" w:cs="Times New Roman"/>
          <w:i/>
          <w:sz w:val="22"/>
        </w:rPr>
        <w:t>Philosophical Investigations</w:t>
      </w:r>
      <w:r w:rsidRPr="00D852AC">
        <w:rPr>
          <w:rFonts w:ascii="Times New Roman" w:hAnsi="Times New Roman" w:cs="Times New Roman"/>
          <w:sz w:val="22"/>
        </w:rPr>
        <w:t>, translated by G. E. M. Anscombe. Oxford: Basil Blackwell.</w:t>
      </w:r>
    </w:p>
    <w:p w:rsidR="00997626" w:rsidRPr="00D852AC" w:rsidRDefault="00997626" w:rsidP="00D852AC">
      <w:pPr>
        <w:ind w:left="770" w:hangingChars="350" w:hanging="770"/>
        <w:jc w:val="left"/>
        <w:rPr>
          <w:rFonts w:ascii="Times New Roman" w:hAnsi="Times New Roman" w:cs="Times New Roman"/>
          <w:sz w:val="22"/>
        </w:rPr>
      </w:pPr>
      <w:r w:rsidRPr="00D852AC">
        <w:rPr>
          <w:rFonts w:ascii="Times New Roman" w:hAnsi="Times New Roman" w:cs="Times New Roman"/>
          <w:sz w:val="22"/>
        </w:rPr>
        <w:t>RFG</w:t>
      </w:r>
      <w:r w:rsidRPr="00D852AC">
        <w:rPr>
          <w:rFonts w:ascii="Times New Roman" w:hAnsi="Times New Roman" w:cs="Times New Roman"/>
          <w:sz w:val="22"/>
        </w:rPr>
        <w:tab/>
        <w:t xml:space="preserve">(1993) </w:t>
      </w:r>
      <w:r w:rsidRPr="00D852AC">
        <w:rPr>
          <w:rFonts w:ascii="Times New Roman" w:hAnsi="Times New Roman" w:cs="Times New Roman"/>
          <w:i/>
          <w:sz w:val="22"/>
        </w:rPr>
        <w:t>Remarks on Frazer’s Golden Bough</w:t>
      </w:r>
      <w:r w:rsidRPr="00D852AC">
        <w:rPr>
          <w:rFonts w:ascii="Times New Roman" w:hAnsi="Times New Roman" w:cs="Times New Roman"/>
          <w:sz w:val="22"/>
        </w:rPr>
        <w:t xml:space="preserve">. Pp. 118-155 in </w:t>
      </w:r>
      <w:r w:rsidRPr="00D852AC">
        <w:rPr>
          <w:rFonts w:ascii="Times New Roman" w:hAnsi="Times New Roman" w:cs="Times New Roman"/>
          <w:i/>
          <w:sz w:val="22"/>
        </w:rPr>
        <w:t>Philosophical Occasions</w:t>
      </w:r>
      <w:r w:rsidRPr="00D852AC">
        <w:rPr>
          <w:rFonts w:ascii="Times New Roman" w:hAnsi="Times New Roman" w:cs="Times New Roman"/>
          <w:sz w:val="22"/>
        </w:rPr>
        <w:t xml:space="preserve">, edited by James Klagge and Alfred Nordmann. Indianapolis and Cambridge: Hackett Publishing Company.  </w:t>
      </w:r>
    </w:p>
    <w:p w:rsidR="00997626" w:rsidRPr="00D852AC" w:rsidRDefault="00997626" w:rsidP="00D852AC">
      <w:pPr>
        <w:ind w:left="770" w:hangingChars="350" w:hanging="770"/>
        <w:jc w:val="left"/>
        <w:rPr>
          <w:rFonts w:ascii="Times New Roman" w:hAnsi="Times New Roman" w:cs="Times New Roman"/>
          <w:sz w:val="22"/>
        </w:rPr>
      </w:pPr>
      <w:r w:rsidRPr="00D852AC">
        <w:rPr>
          <w:rFonts w:ascii="Times New Roman" w:hAnsi="Times New Roman" w:cs="Times New Roman"/>
          <w:sz w:val="22"/>
        </w:rPr>
        <w:t>TLP</w:t>
      </w:r>
      <w:r w:rsidRPr="00D852AC">
        <w:rPr>
          <w:rFonts w:ascii="Times New Roman" w:hAnsi="Times New Roman" w:cs="Times New Roman"/>
          <w:sz w:val="22"/>
        </w:rPr>
        <w:tab/>
        <w:t xml:space="preserve">(1971) </w:t>
      </w:r>
      <w:r w:rsidRPr="00D852AC">
        <w:rPr>
          <w:rFonts w:ascii="Times New Roman" w:hAnsi="Times New Roman" w:cs="Times New Roman"/>
          <w:i/>
          <w:sz w:val="22"/>
        </w:rPr>
        <w:t>Tractatus Logico-Philosophicus</w:t>
      </w:r>
      <w:r w:rsidRPr="00D852AC">
        <w:rPr>
          <w:rFonts w:ascii="Times New Roman" w:hAnsi="Times New Roman" w:cs="Times New Roman"/>
          <w:sz w:val="22"/>
        </w:rPr>
        <w:t xml:space="preserve">, translated by C. K. Ogden. London, Boston and Henley: Routledge &amp; Kegan Paul Ltd. </w:t>
      </w:r>
    </w:p>
    <w:p w:rsidR="00997626" w:rsidRPr="00D852AC" w:rsidRDefault="00997626" w:rsidP="00D852AC">
      <w:pPr>
        <w:ind w:left="770" w:hangingChars="350" w:hanging="770"/>
        <w:jc w:val="left"/>
        <w:rPr>
          <w:rFonts w:ascii="Times New Roman" w:hAnsi="Times New Roman" w:cs="Times New Roman"/>
          <w:sz w:val="22"/>
        </w:rPr>
      </w:pPr>
      <w:r w:rsidRPr="00D852AC">
        <w:rPr>
          <w:rFonts w:ascii="Times New Roman" w:hAnsi="Times New Roman" w:cs="Times New Roman"/>
          <w:sz w:val="22"/>
        </w:rPr>
        <w:t>Z</w:t>
      </w:r>
      <w:r w:rsidRPr="00D852AC">
        <w:rPr>
          <w:rFonts w:ascii="Times New Roman" w:hAnsi="Times New Roman" w:cs="Times New Roman"/>
          <w:sz w:val="22"/>
        </w:rPr>
        <w:tab/>
        <w:t xml:space="preserve">(1967) </w:t>
      </w:r>
      <w:r w:rsidRPr="00D852AC">
        <w:rPr>
          <w:rFonts w:ascii="Times New Roman" w:hAnsi="Times New Roman" w:cs="Times New Roman"/>
          <w:i/>
          <w:sz w:val="22"/>
        </w:rPr>
        <w:t>Zettel</w:t>
      </w:r>
      <w:r w:rsidRPr="00D852AC">
        <w:rPr>
          <w:rFonts w:ascii="Times New Roman" w:hAnsi="Times New Roman" w:cs="Times New Roman"/>
          <w:sz w:val="22"/>
        </w:rPr>
        <w:t xml:space="preserve">, translated by G. E. M. Anscombe. Berkeley and Los Angeles: University of California Press. 1967. </w:t>
      </w:r>
    </w:p>
    <w:p w:rsidR="00997626" w:rsidRPr="00D852AC" w:rsidRDefault="00997626" w:rsidP="00BB7B9A">
      <w:pPr>
        <w:wordWrap/>
        <w:spacing w:line="360" w:lineRule="auto"/>
        <w:jc w:val="left"/>
        <w:rPr>
          <w:rFonts w:ascii="Times New Roman" w:hAnsi="Times New Roman" w:cs="Times New Roman"/>
          <w:b/>
          <w:sz w:val="22"/>
        </w:rPr>
      </w:pPr>
    </w:p>
    <w:p w:rsidR="00BA7BBC" w:rsidRPr="00997626" w:rsidRDefault="005D3395" w:rsidP="00997626">
      <w:pPr>
        <w:wordWrap/>
        <w:jc w:val="left"/>
        <w:rPr>
          <w:rFonts w:ascii="Times New Roman" w:hAnsi="Times New Roman" w:cs="Times New Roman" w:hint="eastAsia"/>
          <w:sz w:val="22"/>
        </w:rPr>
      </w:pPr>
      <w:r w:rsidRPr="00997626">
        <w:rPr>
          <w:rFonts w:ascii="Times New Roman" w:hAnsi="Times New Roman" w:cs="Times New Roman" w:hint="eastAsia"/>
          <w:sz w:val="22"/>
        </w:rPr>
        <w:t>[</w:t>
      </w:r>
      <w:r w:rsidR="00BA7BBC" w:rsidRPr="00997626">
        <w:rPr>
          <w:rFonts w:ascii="Times New Roman" w:hAnsi="Times New Roman" w:cs="Times New Roman" w:hint="eastAsia"/>
          <w:sz w:val="22"/>
        </w:rPr>
        <w:t>References]</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 xml:space="preserve">Barrett, Cyril. 1991. </w:t>
      </w:r>
      <w:r w:rsidRPr="00997626">
        <w:rPr>
          <w:rFonts w:ascii="Times New Roman" w:hAnsi="Times New Roman" w:cs="Times New Roman"/>
          <w:i/>
          <w:sz w:val="22"/>
        </w:rPr>
        <w:t>Wittgenstein on Ethics and Religious Belief</w:t>
      </w:r>
      <w:r w:rsidRPr="00997626">
        <w:rPr>
          <w:rFonts w:ascii="Times New Roman" w:hAnsi="Times New Roman" w:cs="Times New Roman"/>
          <w:sz w:val="22"/>
        </w:rPr>
        <w:t xml:space="preserve">. Oxford, UK and Cambridge, USA: Blackwell.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 xml:space="preserve">Bellah, Robert N.. 1970. </w:t>
      </w:r>
      <w:r w:rsidRPr="00997626">
        <w:rPr>
          <w:rFonts w:ascii="Times New Roman" w:hAnsi="Times New Roman" w:cs="Times New Roman"/>
          <w:i/>
          <w:sz w:val="22"/>
        </w:rPr>
        <w:t>Beyond Belief: Essays on Religion in a Post-Traditional World</w:t>
      </w:r>
      <w:r w:rsidRPr="00997626">
        <w:rPr>
          <w:rFonts w:ascii="Times New Roman" w:hAnsi="Times New Roman" w:cs="Times New Roman"/>
          <w:sz w:val="22"/>
        </w:rPr>
        <w:t xml:space="preserve">. New York: Harper and Row.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 xml:space="preserve">Berger, Peter. 1967. </w:t>
      </w:r>
      <w:r w:rsidRPr="00997626">
        <w:rPr>
          <w:rFonts w:ascii="Times New Roman" w:hAnsi="Times New Roman" w:cs="Times New Roman"/>
          <w:i/>
          <w:sz w:val="22"/>
        </w:rPr>
        <w:t>The Sacred Canopy</w:t>
      </w:r>
      <w:r w:rsidRPr="00997626">
        <w:rPr>
          <w:rFonts w:ascii="Times New Roman" w:hAnsi="Times New Roman" w:cs="Times New Roman"/>
          <w:sz w:val="22"/>
        </w:rPr>
        <w:t xml:space="preserve">. New York, London, Toronto, Sydney and Auckland: Doubleday.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Berger, Peter and Hansfied Kellner. 1978. “On the Conceptualization of the Supernatural and the Sacred</w:t>
      </w:r>
      <w:r w:rsidRPr="00997626">
        <w:rPr>
          <w:rFonts w:ascii="Times New Roman" w:hAnsi="Times New Roman" w:cs="Times New Roman" w:hint="eastAsia"/>
          <w:sz w:val="22"/>
        </w:rPr>
        <w:t>.</w:t>
      </w:r>
      <w:r w:rsidRPr="00997626">
        <w:rPr>
          <w:rFonts w:ascii="Times New Roman" w:hAnsi="Times New Roman" w:cs="Times New Roman"/>
          <w:sz w:val="22"/>
        </w:rPr>
        <w:t xml:space="preserve">” </w:t>
      </w:r>
      <w:r w:rsidRPr="00997626">
        <w:rPr>
          <w:rFonts w:ascii="Times New Roman" w:hAnsi="Times New Roman" w:cs="Times New Roman"/>
          <w:i/>
          <w:sz w:val="22"/>
        </w:rPr>
        <w:t>Dialog</w:t>
      </w:r>
      <w:r w:rsidRPr="00997626">
        <w:rPr>
          <w:rFonts w:ascii="Times New Roman" w:hAnsi="Times New Roman" w:cs="Times New Roman"/>
          <w:sz w:val="22"/>
        </w:rPr>
        <w:t xml:space="preserve"> 17</w:t>
      </w:r>
      <w:r w:rsidRPr="00997626">
        <w:rPr>
          <w:rFonts w:ascii="Times New Roman" w:hAnsi="Times New Roman" w:cs="Times New Roman" w:hint="eastAsia"/>
          <w:sz w:val="22"/>
        </w:rPr>
        <w:t>:</w:t>
      </w:r>
      <w:r w:rsidRPr="00997626">
        <w:rPr>
          <w:rFonts w:ascii="Times New Roman" w:hAnsi="Times New Roman" w:cs="Times New Roman"/>
          <w:sz w:val="22"/>
        </w:rPr>
        <w:t xml:space="preserve"> 36-42.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hint="eastAsia"/>
          <w:sz w:val="22"/>
        </w:rPr>
        <w:t xml:space="preserve">Berger, Peter and Thomas Luckmann. 1966. </w:t>
      </w:r>
      <w:r w:rsidRPr="00997626">
        <w:rPr>
          <w:rFonts w:ascii="Times New Roman" w:hAnsi="Times New Roman" w:cs="Times New Roman" w:hint="eastAsia"/>
          <w:i/>
          <w:sz w:val="22"/>
        </w:rPr>
        <w:t>The Social Construction of Reality</w:t>
      </w:r>
      <w:r w:rsidRPr="00997626">
        <w:rPr>
          <w:rFonts w:ascii="Times New Roman" w:hAnsi="Times New Roman" w:cs="Times New Roman" w:hint="eastAsia"/>
          <w:sz w:val="22"/>
        </w:rPr>
        <w:t xml:space="preserve">. New York, London, Toronto, Sydney and Auckland: Doubleday.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 xml:space="preserve">Berryman, Edward. 1994. </w:t>
      </w:r>
      <w:r w:rsidRPr="00997626">
        <w:rPr>
          <w:rFonts w:ascii="Times New Roman" w:hAnsi="Times New Roman" w:cs="Times New Roman"/>
          <w:i/>
          <w:sz w:val="22"/>
        </w:rPr>
        <w:t>The Social Construction of the Divine: A Study of Religious Apparition Stories</w:t>
      </w:r>
      <w:r w:rsidRPr="00997626">
        <w:rPr>
          <w:rFonts w:ascii="Times New Roman" w:hAnsi="Times New Roman" w:cs="Times New Roman"/>
          <w:sz w:val="22"/>
        </w:rPr>
        <w:t xml:space="preserve">. Doctoral Dissertation. Boston University.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u w:val="single"/>
        </w:rPr>
        <w:t xml:space="preserve">                               </w:t>
      </w:r>
      <w:r w:rsidRPr="00997626">
        <w:rPr>
          <w:rFonts w:ascii="Times New Roman" w:hAnsi="Times New Roman" w:cs="Times New Roman"/>
          <w:sz w:val="22"/>
        </w:rPr>
        <w:t>. 2001. “Medjugorje’s Living Icons: Making Spirit Matter (for Sociology)</w:t>
      </w:r>
      <w:r w:rsidRPr="00997626">
        <w:rPr>
          <w:rFonts w:ascii="Times New Roman" w:hAnsi="Times New Roman" w:cs="Times New Roman" w:hint="eastAsia"/>
          <w:sz w:val="22"/>
        </w:rPr>
        <w:t>.</w:t>
      </w:r>
      <w:r w:rsidRPr="00997626">
        <w:rPr>
          <w:rFonts w:ascii="Times New Roman" w:hAnsi="Times New Roman" w:cs="Times New Roman"/>
          <w:sz w:val="22"/>
        </w:rPr>
        <w:t xml:space="preserve">” </w:t>
      </w:r>
      <w:r w:rsidRPr="00997626">
        <w:rPr>
          <w:rFonts w:ascii="Times New Roman" w:hAnsi="Times New Roman" w:cs="Times New Roman"/>
          <w:i/>
          <w:sz w:val="22"/>
        </w:rPr>
        <w:t>Social Compass</w:t>
      </w:r>
      <w:r w:rsidRPr="00997626">
        <w:rPr>
          <w:rFonts w:ascii="Times New Roman" w:hAnsi="Times New Roman" w:cs="Times New Roman"/>
          <w:sz w:val="22"/>
        </w:rPr>
        <w:t xml:space="preserve"> 48 (4): 593-610.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Bruun, Henrik and Richard Langlais. 2003. “On the Embodied Nature of Action</w:t>
      </w:r>
      <w:r w:rsidRPr="00997626">
        <w:rPr>
          <w:rFonts w:ascii="Times New Roman" w:hAnsi="Times New Roman" w:cs="Times New Roman" w:hint="eastAsia"/>
          <w:sz w:val="22"/>
        </w:rPr>
        <w:t>.</w:t>
      </w:r>
      <w:r w:rsidRPr="00997626">
        <w:rPr>
          <w:rFonts w:ascii="Times New Roman" w:hAnsi="Times New Roman" w:cs="Times New Roman"/>
          <w:sz w:val="22"/>
        </w:rPr>
        <w:t xml:space="preserve">” </w:t>
      </w:r>
      <w:r w:rsidRPr="00997626">
        <w:rPr>
          <w:rFonts w:ascii="Times New Roman" w:hAnsi="Times New Roman" w:cs="Times New Roman"/>
          <w:i/>
          <w:sz w:val="22"/>
        </w:rPr>
        <w:t>Acta Sociologica</w:t>
      </w:r>
      <w:r w:rsidRPr="00997626">
        <w:rPr>
          <w:rFonts w:ascii="Times New Roman" w:hAnsi="Times New Roman" w:cs="Times New Roman"/>
          <w:sz w:val="22"/>
        </w:rPr>
        <w:t xml:space="preserve"> 46 (1): 31-49.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 xml:space="preserve">Capps, Walter H. 1995. </w:t>
      </w:r>
      <w:r w:rsidRPr="00997626">
        <w:rPr>
          <w:rFonts w:ascii="Times New Roman" w:hAnsi="Times New Roman" w:cs="Times New Roman"/>
          <w:i/>
          <w:sz w:val="22"/>
        </w:rPr>
        <w:t>Religious Studies – The Making of a Discipline</w:t>
      </w:r>
      <w:r w:rsidRPr="00997626">
        <w:rPr>
          <w:rFonts w:ascii="Times New Roman" w:hAnsi="Times New Roman" w:cs="Times New Roman"/>
          <w:sz w:val="22"/>
        </w:rPr>
        <w:t xml:space="preserve">. Minneapolis: Fortress Press.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 xml:space="preserve">Cipriani, Roberto. 2000. </w:t>
      </w:r>
      <w:r w:rsidRPr="00997626">
        <w:rPr>
          <w:rFonts w:ascii="Times New Roman" w:hAnsi="Times New Roman" w:cs="Times New Roman"/>
          <w:i/>
          <w:sz w:val="22"/>
        </w:rPr>
        <w:t>Sociology of Religion – An Historical Introduction</w:t>
      </w:r>
      <w:r w:rsidRPr="00997626">
        <w:rPr>
          <w:rFonts w:ascii="Times New Roman" w:hAnsi="Times New Roman" w:cs="Times New Roman"/>
          <w:sz w:val="22"/>
        </w:rPr>
        <w:t xml:space="preserve">. New York: Aldine De Gruyter.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Coakley, Sarah. 1997. “Introduction: Religion and the Body</w:t>
      </w:r>
      <w:r w:rsidRPr="00997626">
        <w:rPr>
          <w:rFonts w:ascii="Times New Roman" w:hAnsi="Times New Roman" w:cs="Times New Roman" w:hint="eastAsia"/>
          <w:sz w:val="22"/>
        </w:rPr>
        <w:t>.</w:t>
      </w:r>
      <w:r w:rsidRPr="00997626">
        <w:rPr>
          <w:rFonts w:ascii="Times New Roman" w:hAnsi="Times New Roman" w:cs="Times New Roman"/>
          <w:sz w:val="22"/>
        </w:rPr>
        <w:t>”</w:t>
      </w:r>
      <w:r w:rsidRPr="00997626">
        <w:rPr>
          <w:rFonts w:ascii="Times New Roman" w:hAnsi="Times New Roman" w:cs="Times New Roman" w:hint="eastAsia"/>
          <w:sz w:val="22"/>
        </w:rPr>
        <w:t xml:space="preserve"> Pp. 1-12 i</w:t>
      </w:r>
      <w:r w:rsidRPr="00997626">
        <w:rPr>
          <w:rFonts w:ascii="Times New Roman" w:hAnsi="Times New Roman" w:cs="Times New Roman"/>
          <w:sz w:val="22"/>
        </w:rPr>
        <w:t xml:space="preserve">n </w:t>
      </w:r>
      <w:r w:rsidRPr="00997626">
        <w:rPr>
          <w:rFonts w:ascii="Times New Roman" w:hAnsi="Times New Roman" w:cs="Times New Roman"/>
          <w:i/>
          <w:sz w:val="22"/>
        </w:rPr>
        <w:t>Religion and the Body</w:t>
      </w:r>
      <w:r w:rsidRPr="00997626">
        <w:rPr>
          <w:rFonts w:ascii="Times New Roman" w:hAnsi="Times New Roman" w:cs="Times New Roman" w:hint="eastAsia"/>
          <w:sz w:val="22"/>
        </w:rPr>
        <w:t>, edited by</w:t>
      </w:r>
      <w:r w:rsidRPr="00997626">
        <w:rPr>
          <w:rFonts w:ascii="Times New Roman" w:hAnsi="Times New Roman" w:cs="Times New Roman"/>
          <w:sz w:val="22"/>
        </w:rPr>
        <w:t xml:space="preserve"> Sarah Coakley</w:t>
      </w:r>
      <w:r w:rsidRPr="00997626">
        <w:rPr>
          <w:rFonts w:ascii="Times New Roman" w:hAnsi="Times New Roman" w:cs="Times New Roman" w:hint="eastAsia"/>
          <w:sz w:val="22"/>
        </w:rPr>
        <w:t xml:space="preserve">. </w:t>
      </w:r>
      <w:r w:rsidRPr="00997626">
        <w:rPr>
          <w:rFonts w:ascii="Times New Roman" w:hAnsi="Times New Roman" w:cs="Times New Roman"/>
          <w:sz w:val="22"/>
        </w:rPr>
        <w:t xml:space="preserve">Cambridge: Cambridge University Press. </w:t>
      </w:r>
    </w:p>
    <w:p w:rsidR="005D3395" w:rsidRPr="00997626" w:rsidRDefault="00E87C3B" w:rsidP="00997626">
      <w:pPr>
        <w:wordWrap/>
        <w:ind w:left="770" w:hangingChars="350" w:hanging="770"/>
        <w:jc w:val="left"/>
        <w:rPr>
          <w:rFonts w:ascii="Times New Roman" w:hAnsi="Times New Roman" w:cs="Times New Roman" w:hint="eastAsia"/>
          <w:sz w:val="22"/>
        </w:rPr>
      </w:pPr>
      <w:r w:rsidRPr="00997626">
        <w:rPr>
          <w:rFonts w:ascii="Times New Roman" w:hAnsi="Times New Roman" w:cs="Times New Roman"/>
          <w:sz w:val="22"/>
        </w:rPr>
        <w:t xml:space="preserve">Coulter, Jeff. 1973. </w:t>
      </w:r>
      <w:r w:rsidRPr="00997626">
        <w:rPr>
          <w:rFonts w:ascii="Times New Roman" w:hAnsi="Times New Roman" w:cs="Times New Roman"/>
          <w:i/>
          <w:sz w:val="22"/>
        </w:rPr>
        <w:t>Approaches to Insanity - A Philosophical and Sociological Study</w:t>
      </w:r>
      <w:r w:rsidRPr="00997626">
        <w:rPr>
          <w:rFonts w:ascii="Times New Roman" w:hAnsi="Times New Roman" w:cs="Times New Roman"/>
          <w:sz w:val="22"/>
        </w:rPr>
        <w:t xml:space="preserve">. New York: John Wiley &amp; Sons. </w:t>
      </w:r>
    </w:p>
    <w:p w:rsidR="005D3395" w:rsidRPr="00997626" w:rsidRDefault="00E87C3B" w:rsidP="00997626">
      <w:pPr>
        <w:wordWrap/>
        <w:ind w:left="770" w:hangingChars="350" w:hanging="770"/>
        <w:jc w:val="left"/>
        <w:rPr>
          <w:rFonts w:ascii="Times New Roman" w:hAnsi="Times New Roman" w:cs="Times New Roman" w:hint="eastAsia"/>
          <w:sz w:val="22"/>
        </w:rPr>
      </w:pPr>
      <w:r w:rsidRPr="00997626">
        <w:rPr>
          <w:rFonts w:ascii="Times New Roman" w:hAnsi="Times New Roman" w:cs="Times New Roman"/>
          <w:sz w:val="22"/>
          <w:u w:val="single"/>
        </w:rPr>
        <w:t xml:space="preserve"> </w:t>
      </w:r>
      <w:r w:rsidR="005D3395" w:rsidRPr="00997626">
        <w:rPr>
          <w:rFonts w:ascii="Times New Roman" w:hAnsi="Times New Roman" w:cs="Times New Roman" w:hint="eastAsia"/>
          <w:sz w:val="22"/>
          <w:u w:val="single"/>
        </w:rPr>
        <w:t xml:space="preserve"> </w:t>
      </w:r>
      <w:r w:rsidRPr="00997626">
        <w:rPr>
          <w:rFonts w:ascii="Times New Roman" w:hAnsi="Times New Roman" w:cs="Times New Roman"/>
          <w:sz w:val="22"/>
          <w:u w:val="single"/>
        </w:rPr>
        <w:t xml:space="preserve">             </w:t>
      </w:r>
      <w:r w:rsidRPr="00997626">
        <w:rPr>
          <w:rFonts w:ascii="Times New Roman" w:hAnsi="Times New Roman" w:cs="Times New Roman"/>
          <w:sz w:val="22"/>
        </w:rPr>
        <w:t>. 1979</w:t>
      </w:r>
      <w:r w:rsidRPr="00997626">
        <w:rPr>
          <w:rFonts w:ascii="Times New Roman" w:hAnsi="Times New Roman" w:cs="Times New Roman" w:hint="eastAsia"/>
          <w:sz w:val="22"/>
        </w:rPr>
        <w:t>a</w:t>
      </w:r>
      <w:r w:rsidRPr="00997626">
        <w:rPr>
          <w:rFonts w:ascii="Times New Roman" w:hAnsi="Times New Roman" w:cs="Times New Roman"/>
          <w:sz w:val="22"/>
        </w:rPr>
        <w:t xml:space="preserve">. </w:t>
      </w:r>
      <w:r w:rsidRPr="00997626">
        <w:rPr>
          <w:rFonts w:ascii="Times New Roman" w:hAnsi="Times New Roman" w:cs="Times New Roman"/>
          <w:i/>
          <w:sz w:val="22"/>
        </w:rPr>
        <w:t>The Social Construction of Mind</w:t>
      </w:r>
      <w:r w:rsidRPr="00997626">
        <w:rPr>
          <w:rFonts w:ascii="Times New Roman" w:hAnsi="Times New Roman" w:cs="Times New Roman"/>
          <w:sz w:val="22"/>
        </w:rPr>
        <w:t xml:space="preserve">. Totawa, NJ: Rowman and Littlefield. </w:t>
      </w:r>
    </w:p>
    <w:p w:rsidR="005D3395" w:rsidRPr="00997626" w:rsidRDefault="00E87C3B" w:rsidP="00997626">
      <w:pPr>
        <w:wordWrap/>
        <w:ind w:left="770" w:hangingChars="350" w:hanging="770"/>
        <w:jc w:val="left"/>
        <w:rPr>
          <w:rFonts w:ascii="Times New Roman" w:hAnsi="Times New Roman" w:cs="Times New Roman" w:hint="eastAsia"/>
          <w:sz w:val="22"/>
        </w:rPr>
      </w:pPr>
      <w:r w:rsidRPr="00997626">
        <w:rPr>
          <w:rFonts w:ascii="Times New Roman" w:hAnsi="Times New Roman" w:cs="Times New Roman"/>
          <w:sz w:val="22"/>
          <w:u w:val="single"/>
        </w:rPr>
        <w:t xml:space="preserve">               </w:t>
      </w:r>
      <w:r w:rsidRPr="00997626">
        <w:rPr>
          <w:rFonts w:ascii="Times New Roman" w:hAnsi="Times New Roman" w:cs="Times New Roman"/>
          <w:sz w:val="22"/>
        </w:rPr>
        <w:t>. 1979b. “The Brain as Agent</w:t>
      </w:r>
      <w:r w:rsidRPr="00997626">
        <w:rPr>
          <w:rFonts w:ascii="Times New Roman" w:hAnsi="Times New Roman" w:cs="Times New Roman" w:hint="eastAsia"/>
          <w:sz w:val="22"/>
        </w:rPr>
        <w:t>.</w:t>
      </w:r>
      <w:r w:rsidRPr="00997626">
        <w:rPr>
          <w:rFonts w:ascii="Times New Roman" w:hAnsi="Times New Roman" w:cs="Times New Roman"/>
          <w:sz w:val="22"/>
        </w:rPr>
        <w:t xml:space="preserve">” </w:t>
      </w:r>
      <w:r w:rsidRPr="00997626">
        <w:rPr>
          <w:rFonts w:ascii="Times New Roman" w:hAnsi="Times New Roman" w:cs="Times New Roman"/>
          <w:i/>
          <w:sz w:val="22"/>
        </w:rPr>
        <w:t>Human Studies</w:t>
      </w:r>
      <w:r w:rsidRPr="00997626">
        <w:rPr>
          <w:rFonts w:ascii="Times New Roman" w:hAnsi="Times New Roman" w:cs="Times New Roman"/>
          <w:sz w:val="22"/>
        </w:rPr>
        <w:t xml:space="preserve"> 2 (4): 335-348. </w:t>
      </w:r>
    </w:p>
    <w:p w:rsidR="005D3395" w:rsidRPr="00997626" w:rsidRDefault="005D3395" w:rsidP="00997626">
      <w:pPr>
        <w:wordWrap/>
        <w:ind w:left="770" w:hangingChars="350" w:hanging="770"/>
        <w:jc w:val="left"/>
        <w:rPr>
          <w:rFonts w:ascii="Times New Roman" w:hAnsi="Times New Roman" w:cs="Times New Roman" w:hint="eastAsia"/>
          <w:sz w:val="22"/>
        </w:rPr>
      </w:pPr>
      <w:r w:rsidRPr="00997626">
        <w:rPr>
          <w:rFonts w:ascii="Times New Roman" w:hAnsi="Times New Roman" w:cs="Times New Roman" w:hint="eastAsia"/>
          <w:sz w:val="22"/>
          <w:u w:val="single"/>
        </w:rPr>
        <w:t xml:space="preserve">               </w:t>
      </w:r>
      <w:r w:rsidRPr="00997626">
        <w:rPr>
          <w:rFonts w:ascii="Times New Roman" w:hAnsi="Times New Roman" w:cs="Times New Roman" w:hint="eastAsia"/>
          <w:sz w:val="22"/>
        </w:rPr>
        <w:t xml:space="preserve">. 1989. </w:t>
      </w:r>
      <w:r w:rsidRPr="00997626">
        <w:rPr>
          <w:rFonts w:ascii="Times New Roman" w:hAnsi="Times New Roman" w:cs="Times New Roman" w:hint="eastAsia"/>
          <w:i/>
          <w:sz w:val="22"/>
        </w:rPr>
        <w:t>Mind in Ac</w:t>
      </w:r>
      <w:r w:rsidRPr="00997626">
        <w:rPr>
          <w:rFonts w:ascii="Times New Roman" w:hAnsi="Times New Roman" w:cs="Times New Roman" w:hint="eastAsia"/>
          <w:sz w:val="22"/>
        </w:rPr>
        <w:t xml:space="preserve">tion. Atlantic Highlands, NJ: Humanities Press. </w:t>
      </w:r>
    </w:p>
    <w:p w:rsidR="005D3395" w:rsidRPr="00997626" w:rsidRDefault="005D3395" w:rsidP="00997626">
      <w:pPr>
        <w:wordWrap/>
        <w:ind w:left="770" w:hangingChars="350" w:hanging="770"/>
        <w:jc w:val="left"/>
        <w:rPr>
          <w:rFonts w:ascii="Times New Roman" w:hAnsi="Times New Roman" w:cs="Times New Roman" w:hint="eastAsia"/>
          <w:sz w:val="22"/>
        </w:rPr>
      </w:pPr>
      <w:r w:rsidRPr="00997626">
        <w:rPr>
          <w:rFonts w:ascii="Times New Roman" w:hAnsi="Times New Roman" w:cs="Times New Roman" w:hint="eastAsia"/>
          <w:sz w:val="22"/>
          <w:u w:val="single"/>
        </w:rPr>
        <w:t xml:space="preserve">               </w:t>
      </w:r>
      <w:r w:rsidR="00E87C3B" w:rsidRPr="00997626">
        <w:rPr>
          <w:rFonts w:ascii="Times New Roman" w:hAnsi="Times New Roman" w:cs="Times New Roman"/>
          <w:sz w:val="22"/>
        </w:rPr>
        <w:t>. 1993. “Materialist Conceptions of Mind: A Reappraisal</w:t>
      </w:r>
      <w:r w:rsidR="00E87C3B" w:rsidRPr="00997626">
        <w:rPr>
          <w:rFonts w:ascii="Times New Roman" w:hAnsi="Times New Roman" w:cs="Times New Roman" w:hint="eastAsia"/>
          <w:sz w:val="22"/>
        </w:rPr>
        <w:t>.</w:t>
      </w:r>
      <w:r w:rsidR="00E87C3B" w:rsidRPr="00997626">
        <w:rPr>
          <w:rFonts w:ascii="Times New Roman" w:hAnsi="Times New Roman" w:cs="Times New Roman"/>
          <w:sz w:val="22"/>
        </w:rPr>
        <w:t xml:space="preserve">” </w:t>
      </w:r>
      <w:r w:rsidR="00E87C3B" w:rsidRPr="00997626">
        <w:rPr>
          <w:rFonts w:ascii="Times New Roman" w:hAnsi="Times New Roman" w:cs="Times New Roman"/>
          <w:i/>
          <w:sz w:val="22"/>
        </w:rPr>
        <w:t>Social Research</w:t>
      </w:r>
      <w:r w:rsidR="00E87C3B" w:rsidRPr="00997626">
        <w:rPr>
          <w:rFonts w:ascii="Times New Roman" w:hAnsi="Times New Roman" w:cs="Times New Roman"/>
          <w:sz w:val="22"/>
        </w:rPr>
        <w:t xml:space="preserve"> 60 (1): 117-142. </w:t>
      </w:r>
    </w:p>
    <w:p w:rsidR="005D3395" w:rsidRPr="00997626" w:rsidRDefault="00E87C3B" w:rsidP="00997626">
      <w:pPr>
        <w:wordWrap/>
        <w:ind w:left="770" w:hangingChars="350" w:hanging="770"/>
        <w:jc w:val="left"/>
        <w:rPr>
          <w:rFonts w:ascii="Times New Roman" w:hAnsi="Times New Roman" w:cs="Times New Roman" w:hint="eastAsia"/>
          <w:sz w:val="22"/>
        </w:rPr>
      </w:pPr>
      <w:r w:rsidRPr="00997626">
        <w:rPr>
          <w:rFonts w:ascii="Times New Roman" w:hAnsi="Times New Roman" w:cs="Times New Roman"/>
          <w:sz w:val="22"/>
          <w:u w:val="single"/>
        </w:rPr>
        <w:t xml:space="preserve">               </w:t>
      </w:r>
      <w:r w:rsidRPr="00997626">
        <w:rPr>
          <w:rFonts w:ascii="Times New Roman" w:hAnsi="Times New Roman" w:cs="Times New Roman"/>
          <w:sz w:val="22"/>
        </w:rPr>
        <w:t>. 1999. “Discourse and Mind</w:t>
      </w:r>
      <w:r w:rsidRPr="00997626">
        <w:rPr>
          <w:rFonts w:ascii="Times New Roman" w:hAnsi="Times New Roman" w:cs="Times New Roman" w:hint="eastAsia"/>
          <w:sz w:val="22"/>
        </w:rPr>
        <w:t>.</w:t>
      </w:r>
      <w:r w:rsidRPr="00997626">
        <w:rPr>
          <w:rFonts w:ascii="Times New Roman" w:hAnsi="Times New Roman" w:cs="Times New Roman"/>
          <w:sz w:val="22"/>
        </w:rPr>
        <w:t xml:space="preserve">” </w:t>
      </w:r>
      <w:r w:rsidRPr="00997626">
        <w:rPr>
          <w:rFonts w:ascii="Times New Roman" w:hAnsi="Times New Roman" w:cs="Times New Roman"/>
          <w:i/>
          <w:sz w:val="22"/>
        </w:rPr>
        <w:t>Human Studies</w:t>
      </w:r>
      <w:r w:rsidRPr="00997626">
        <w:rPr>
          <w:rFonts w:ascii="Times New Roman" w:hAnsi="Times New Roman" w:cs="Times New Roman"/>
          <w:sz w:val="22"/>
        </w:rPr>
        <w:t xml:space="preserve"> 22 (2-4): 163-181. </w:t>
      </w:r>
    </w:p>
    <w:p w:rsidR="005A001A" w:rsidRDefault="005A001A" w:rsidP="00997626">
      <w:pPr>
        <w:wordWrap/>
        <w:ind w:left="770" w:hangingChars="350" w:hanging="770"/>
        <w:jc w:val="left"/>
        <w:rPr>
          <w:rFonts w:ascii="Times New Roman" w:hAnsi="Times New Roman" w:cs="Times New Roman" w:hint="eastAsia"/>
          <w:sz w:val="22"/>
        </w:rPr>
      </w:pPr>
      <w:r>
        <w:rPr>
          <w:rFonts w:ascii="Times New Roman" w:hAnsi="Times New Roman" w:cs="Times New Roman" w:hint="eastAsia"/>
          <w:sz w:val="22"/>
        </w:rPr>
        <w:t xml:space="preserve">Cox, James. 2003. </w:t>
      </w:r>
      <w:r>
        <w:rPr>
          <w:rFonts w:ascii="Times New Roman" w:hAnsi="Times New Roman" w:cs="Times New Roman"/>
          <w:sz w:val="22"/>
        </w:rPr>
        <w:t>“</w:t>
      </w:r>
      <w:r>
        <w:rPr>
          <w:rFonts w:ascii="Times New Roman" w:hAnsi="Times New Roman" w:cs="Times New Roman" w:hint="eastAsia"/>
          <w:sz w:val="22"/>
        </w:rPr>
        <w:t>Religion Without God: Methodological Agnosticism and the Future of Religious Studies.</w:t>
      </w:r>
      <w:r>
        <w:rPr>
          <w:rFonts w:ascii="Times New Roman" w:hAnsi="Times New Roman" w:cs="Times New Roman"/>
          <w:sz w:val="22"/>
        </w:rPr>
        <w:t>”</w:t>
      </w:r>
      <w:r>
        <w:rPr>
          <w:rFonts w:ascii="Times New Roman" w:hAnsi="Times New Roman" w:cs="Times New Roman" w:hint="eastAsia"/>
          <w:sz w:val="22"/>
        </w:rPr>
        <w:t xml:space="preserve"> A Lecture Given in the Hibbert Lecture. </w:t>
      </w:r>
    </w:p>
    <w:p w:rsidR="005D3395" w:rsidRPr="00997626" w:rsidRDefault="00E87C3B" w:rsidP="00997626">
      <w:pPr>
        <w:wordWrap/>
        <w:ind w:left="770" w:hangingChars="350" w:hanging="770"/>
        <w:jc w:val="left"/>
        <w:rPr>
          <w:rFonts w:ascii="Times New Roman" w:hAnsi="Times New Roman" w:cs="Times New Roman" w:hint="eastAsia"/>
          <w:sz w:val="22"/>
        </w:rPr>
      </w:pPr>
      <w:r w:rsidRPr="00997626">
        <w:rPr>
          <w:rFonts w:ascii="Times New Roman" w:hAnsi="Times New Roman" w:cs="Times New Roman"/>
          <w:sz w:val="22"/>
        </w:rPr>
        <w:t>Csordas, Thomas J. 1990. “Embodiment as a Paradigm for Anthropology</w:t>
      </w:r>
      <w:r w:rsidRPr="00997626">
        <w:rPr>
          <w:rFonts w:ascii="Times New Roman" w:hAnsi="Times New Roman" w:cs="Times New Roman" w:hint="eastAsia"/>
          <w:sz w:val="22"/>
        </w:rPr>
        <w:t>.</w:t>
      </w:r>
      <w:r w:rsidRPr="00997626">
        <w:rPr>
          <w:rFonts w:ascii="Times New Roman" w:hAnsi="Times New Roman" w:cs="Times New Roman"/>
          <w:sz w:val="22"/>
        </w:rPr>
        <w:t xml:space="preserve">” </w:t>
      </w:r>
      <w:r w:rsidRPr="00997626">
        <w:rPr>
          <w:rFonts w:ascii="Times New Roman" w:hAnsi="Times New Roman" w:cs="Times New Roman"/>
          <w:i/>
          <w:sz w:val="22"/>
        </w:rPr>
        <w:t>Ethos</w:t>
      </w:r>
      <w:r w:rsidRPr="00997626">
        <w:rPr>
          <w:rFonts w:ascii="Times New Roman" w:hAnsi="Times New Roman" w:cs="Times New Roman"/>
          <w:sz w:val="22"/>
        </w:rPr>
        <w:t xml:space="preserve"> 18 (1): 5-47.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hint="eastAsia"/>
          <w:sz w:val="22"/>
          <w:u w:val="single"/>
        </w:rPr>
        <w:t xml:space="preserve">         </w:t>
      </w:r>
      <w:r w:rsidRPr="00997626">
        <w:rPr>
          <w:rFonts w:ascii="Times New Roman" w:hAnsi="Times New Roman" w:cs="Times New Roman"/>
          <w:sz w:val="22"/>
          <w:u w:val="single"/>
        </w:rPr>
        <w:t xml:space="preserve">      </w:t>
      </w:r>
      <w:r w:rsidRPr="00997626">
        <w:rPr>
          <w:rFonts w:ascii="Times New Roman" w:hAnsi="Times New Roman" w:cs="Times New Roman"/>
          <w:sz w:val="22"/>
        </w:rPr>
        <w:t>. 1993. “Somatic Modes of Attention</w:t>
      </w:r>
      <w:r w:rsidRPr="00997626">
        <w:rPr>
          <w:rFonts w:ascii="Times New Roman" w:hAnsi="Times New Roman" w:cs="Times New Roman" w:hint="eastAsia"/>
          <w:sz w:val="22"/>
        </w:rPr>
        <w:t>.</w:t>
      </w:r>
      <w:r w:rsidRPr="00997626">
        <w:rPr>
          <w:rFonts w:ascii="Times New Roman" w:hAnsi="Times New Roman" w:cs="Times New Roman"/>
          <w:sz w:val="22"/>
        </w:rPr>
        <w:t xml:space="preserve">” </w:t>
      </w:r>
      <w:r w:rsidRPr="00997626">
        <w:rPr>
          <w:rFonts w:ascii="Times New Roman" w:hAnsi="Times New Roman" w:cs="Times New Roman"/>
          <w:i/>
          <w:sz w:val="22"/>
        </w:rPr>
        <w:t>Cultural Anthropology</w:t>
      </w:r>
      <w:r w:rsidRPr="00997626">
        <w:rPr>
          <w:rFonts w:ascii="Times New Roman" w:hAnsi="Times New Roman" w:cs="Times New Roman"/>
          <w:sz w:val="22"/>
        </w:rPr>
        <w:t xml:space="preserve"> 8 (2): 135-156.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Demerath, III, N. J. 2000. “The Varieties of Sacred Experience: Finding the Sacred in a Secular Grove</w:t>
      </w:r>
      <w:r w:rsidRPr="00997626">
        <w:rPr>
          <w:rFonts w:ascii="Times New Roman" w:hAnsi="Times New Roman" w:cs="Times New Roman" w:hint="eastAsia"/>
          <w:sz w:val="22"/>
        </w:rPr>
        <w:t>.</w:t>
      </w:r>
      <w:r w:rsidRPr="00997626">
        <w:rPr>
          <w:rFonts w:ascii="Times New Roman" w:hAnsi="Times New Roman" w:cs="Times New Roman"/>
          <w:sz w:val="22"/>
        </w:rPr>
        <w:t xml:space="preserve">” </w:t>
      </w:r>
      <w:r w:rsidRPr="00997626">
        <w:rPr>
          <w:rFonts w:ascii="Times New Roman" w:hAnsi="Times New Roman" w:cs="Times New Roman"/>
          <w:i/>
          <w:sz w:val="22"/>
        </w:rPr>
        <w:t>Journal for the Scientific Study of Religion</w:t>
      </w:r>
      <w:r w:rsidRPr="00997626">
        <w:rPr>
          <w:rFonts w:ascii="Times New Roman" w:hAnsi="Times New Roman" w:cs="Times New Roman"/>
          <w:sz w:val="22"/>
        </w:rPr>
        <w:t xml:space="preserve"> 39 (1): 1-11. </w:t>
      </w:r>
    </w:p>
    <w:p w:rsidR="00E87C3B" w:rsidRPr="00997626" w:rsidRDefault="005D3395"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hint="eastAsia"/>
          <w:sz w:val="22"/>
        </w:rPr>
        <w:t>Durkheim, Emile</w:t>
      </w:r>
      <w:r w:rsidR="00E87C3B" w:rsidRPr="00997626">
        <w:rPr>
          <w:rFonts w:ascii="Times New Roman" w:hAnsi="Times New Roman" w:cs="Times New Roman" w:hint="eastAsia"/>
          <w:sz w:val="22"/>
        </w:rPr>
        <w:t xml:space="preserve">. </w:t>
      </w:r>
      <w:r w:rsidR="00E87C3B" w:rsidRPr="00997626">
        <w:rPr>
          <w:rFonts w:ascii="Times New Roman" w:hAnsi="Times New Roman" w:cs="Times New Roman"/>
          <w:sz w:val="22"/>
        </w:rPr>
        <w:t xml:space="preserve">1995. </w:t>
      </w:r>
      <w:r w:rsidR="00E87C3B" w:rsidRPr="00997626">
        <w:rPr>
          <w:rFonts w:ascii="Times New Roman" w:hAnsi="Times New Roman" w:cs="Times New Roman"/>
          <w:i/>
          <w:sz w:val="22"/>
        </w:rPr>
        <w:t>The Elementary Forms of Religious Life</w:t>
      </w:r>
      <w:r w:rsidR="00E87C3B" w:rsidRPr="00997626">
        <w:rPr>
          <w:rFonts w:ascii="Times New Roman" w:hAnsi="Times New Roman" w:cs="Times New Roman" w:hint="eastAsia"/>
          <w:sz w:val="22"/>
        </w:rPr>
        <w:t>,</w:t>
      </w:r>
      <w:r w:rsidR="00E87C3B" w:rsidRPr="00997626">
        <w:rPr>
          <w:rFonts w:ascii="Times New Roman" w:hAnsi="Times New Roman" w:cs="Times New Roman"/>
          <w:sz w:val="22"/>
        </w:rPr>
        <w:t xml:space="preserve"> </w:t>
      </w:r>
      <w:r w:rsidR="00E87C3B" w:rsidRPr="00997626">
        <w:rPr>
          <w:rFonts w:ascii="Times New Roman" w:hAnsi="Times New Roman" w:cs="Times New Roman" w:hint="eastAsia"/>
          <w:sz w:val="22"/>
        </w:rPr>
        <w:t>t</w:t>
      </w:r>
      <w:r w:rsidR="00E87C3B" w:rsidRPr="00997626">
        <w:rPr>
          <w:rFonts w:ascii="Times New Roman" w:hAnsi="Times New Roman" w:cs="Times New Roman"/>
          <w:sz w:val="22"/>
        </w:rPr>
        <w:t>rans</w:t>
      </w:r>
      <w:r w:rsidR="00E87C3B" w:rsidRPr="00997626">
        <w:rPr>
          <w:rFonts w:ascii="Times New Roman" w:hAnsi="Times New Roman" w:cs="Times New Roman" w:hint="eastAsia"/>
          <w:sz w:val="22"/>
        </w:rPr>
        <w:t>lated</w:t>
      </w:r>
      <w:r w:rsidR="00E87C3B" w:rsidRPr="00997626">
        <w:rPr>
          <w:rFonts w:ascii="Times New Roman" w:hAnsi="Times New Roman" w:cs="Times New Roman"/>
          <w:sz w:val="22"/>
        </w:rPr>
        <w:t xml:space="preserve"> by Karen E. Fields. New York, London, Toronto, Sydney, Tokyo and Singapore: The Free Press.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 xml:space="preserve">Eliade, Mircea. 1957. </w:t>
      </w:r>
      <w:r w:rsidRPr="00997626">
        <w:rPr>
          <w:rFonts w:ascii="Times New Roman" w:hAnsi="Times New Roman" w:cs="Times New Roman"/>
          <w:i/>
          <w:sz w:val="22"/>
        </w:rPr>
        <w:t>The Sacred and the Profane – The Nature of Religion</w:t>
      </w:r>
      <w:r w:rsidRPr="00997626">
        <w:rPr>
          <w:rFonts w:ascii="Times New Roman" w:hAnsi="Times New Roman" w:cs="Times New Roman"/>
          <w:sz w:val="22"/>
        </w:rPr>
        <w:t xml:space="preserve">. San Diego, New York </w:t>
      </w:r>
      <w:r w:rsidRPr="00997626">
        <w:rPr>
          <w:rFonts w:ascii="Times New Roman" w:hAnsi="Times New Roman" w:cs="Times New Roman"/>
          <w:sz w:val="22"/>
        </w:rPr>
        <w:lastRenderedPageBreak/>
        <w:t xml:space="preserve">and London: Harcourt Brace Jovanovich, Inc.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Featherstone, Mike. 2006. “Body Image/Body without Image</w:t>
      </w:r>
      <w:r w:rsidRPr="00997626">
        <w:rPr>
          <w:rFonts w:ascii="Times New Roman" w:hAnsi="Times New Roman" w:cs="Times New Roman" w:hint="eastAsia"/>
          <w:sz w:val="22"/>
        </w:rPr>
        <w:t>.</w:t>
      </w:r>
      <w:r w:rsidRPr="00997626">
        <w:rPr>
          <w:rFonts w:ascii="Times New Roman" w:hAnsi="Times New Roman" w:cs="Times New Roman"/>
          <w:sz w:val="22"/>
        </w:rPr>
        <w:t xml:space="preserve">” </w:t>
      </w:r>
      <w:r w:rsidRPr="00997626">
        <w:rPr>
          <w:rFonts w:ascii="Times New Roman" w:hAnsi="Times New Roman" w:cs="Times New Roman"/>
          <w:i/>
          <w:sz w:val="22"/>
        </w:rPr>
        <w:t>Theory, Culture and Society</w:t>
      </w:r>
      <w:r w:rsidRPr="00997626">
        <w:rPr>
          <w:rFonts w:ascii="Times New Roman" w:hAnsi="Times New Roman" w:cs="Times New Roman"/>
          <w:sz w:val="22"/>
        </w:rPr>
        <w:t xml:space="preserve"> 23 (2-3), 223-236.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 xml:space="preserve">Finch, H. L. 2001. </w:t>
      </w:r>
      <w:r w:rsidRPr="00997626">
        <w:rPr>
          <w:rFonts w:ascii="Times New Roman" w:hAnsi="Times New Roman" w:cs="Times New Roman"/>
          <w:i/>
          <w:sz w:val="22"/>
        </w:rPr>
        <w:t>The Vision of Wittgenstein</w:t>
      </w:r>
      <w:r w:rsidRPr="00997626">
        <w:rPr>
          <w:rFonts w:ascii="Times New Roman" w:hAnsi="Times New Roman" w:cs="Times New Roman"/>
          <w:sz w:val="22"/>
        </w:rPr>
        <w:t xml:space="preserve">. London: Vega.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Freund, Peter S. 1988. “Bringing Society into the Body</w:t>
      </w:r>
      <w:r w:rsidRPr="00997626">
        <w:rPr>
          <w:rFonts w:ascii="Times New Roman" w:hAnsi="Times New Roman" w:cs="Times New Roman" w:hint="eastAsia"/>
          <w:sz w:val="22"/>
        </w:rPr>
        <w:t>.</w:t>
      </w:r>
      <w:r w:rsidRPr="00997626">
        <w:rPr>
          <w:rFonts w:ascii="Times New Roman" w:hAnsi="Times New Roman" w:cs="Times New Roman"/>
          <w:sz w:val="22"/>
        </w:rPr>
        <w:t xml:space="preserve">” </w:t>
      </w:r>
      <w:r w:rsidRPr="00997626">
        <w:rPr>
          <w:rFonts w:ascii="Times New Roman" w:hAnsi="Times New Roman" w:cs="Times New Roman"/>
          <w:i/>
          <w:sz w:val="22"/>
        </w:rPr>
        <w:t>Theory and Society</w:t>
      </w:r>
      <w:r w:rsidRPr="00997626">
        <w:rPr>
          <w:rFonts w:ascii="Times New Roman" w:hAnsi="Times New Roman" w:cs="Times New Roman"/>
          <w:sz w:val="22"/>
        </w:rPr>
        <w:t xml:space="preserve"> 17: 839-864.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 xml:space="preserve">Glock, Hans-Johann. 1996. </w:t>
      </w:r>
      <w:r w:rsidRPr="00997626">
        <w:rPr>
          <w:rFonts w:ascii="Times New Roman" w:hAnsi="Times New Roman" w:cs="Times New Roman"/>
          <w:i/>
          <w:sz w:val="22"/>
        </w:rPr>
        <w:t>A Wittgenstein Dictionary</w:t>
      </w:r>
      <w:r w:rsidRPr="00997626">
        <w:rPr>
          <w:rFonts w:ascii="Times New Roman" w:hAnsi="Times New Roman" w:cs="Times New Roman"/>
          <w:sz w:val="22"/>
        </w:rPr>
        <w:t xml:space="preserve">. Oxford, UK and Cambridge, USA: Blackwell.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Hacker, P. M. S.</w:t>
      </w:r>
      <w:r w:rsidR="005D3395" w:rsidRPr="00997626">
        <w:rPr>
          <w:rFonts w:ascii="Times New Roman" w:hAnsi="Times New Roman" w:cs="Times New Roman" w:hint="eastAsia"/>
          <w:sz w:val="22"/>
        </w:rPr>
        <w:t xml:space="preserve"> </w:t>
      </w:r>
      <w:r w:rsidRPr="00997626">
        <w:rPr>
          <w:rFonts w:ascii="Times New Roman" w:hAnsi="Times New Roman" w:cs="Times New Roman"/>
          <w:sz w:val="22"/>
        </w:rPr>
        <w:t>2001. “Wittgenstein and the Autonomy of Humanistic Understanding</w:t>
      </w:r>
      <w:r w:rsidRPr="00997626">
        <w:rPr>
          <w:rFonts w:ascii="Times New Roman" w:hAnsi="Times New Roman" w:cs="Times New Roman" w:hint="eastAsia"/>
          <w:sz w:val="22"/>
        </w:rPr>
        <w:t>.</w:t>
      </w:r>
      <w:r w:rsidRPr="00997626">
        <w:rPr>
          <w:rFonts w:ascii="Times New Roman" w:hAnsi="Times New Roman" w:cs="Times New Roman"/>
          <w:sz w:val="22"/>
        </w:rPr>
        <w:t xml:space="preserve">” </w:t>
      </w:r>
      <w:r w:rsidRPr="00997626">
        <w:rPr>
          <w:rFonts w:ascii="Times New Roman" w:hAnsi="Times New Roman" w:cs="Times New Roman" w:hint="eastAsia"/>
          <w:sz w:val="22"/>
        </w:rPr>
        <w:t>Pp. 39-74 in</w:t>
      </w:r>
      <w:r w:rsidRPr="00997626">
        <w:rPr>
          <w:rFonts w:ascii="Times New Roman" w:hAnsi="Times New Roman" w:cs="Times New Roman"/>
          <w:sz w:val="22"/>
        </w:rPr>
        <w:t xml:space="preserve"> </w:t>
      </w:r>
      <w:r w:rsidRPr="00997626">
        <w:rPr>
          <w:rFonts w:ascii="Times New Roman" w:hAnsi="Times New Roman" w:cs="Times New Roman"/>
          <w:i/>
          <w:sz w:val="22"/>
        </w:rPr>
        <w:t>Wittgenstein: Theory and Arts</w:t>
      </w:r>
      <w:r w:rsidRPr="00997626">
        <w:rPr>
          <w:rFonts w:ascii="Times New Roman" w:hAnsi="Times New Roman" w:cs="Times New Roman" w:hint="eastAsia"/>
          <w:sz w:val="22"/>
        </w:rPr>
        <w:t>, edited by</w:t>
      </w:r>
      <w:r w:rsidRPr="00997626">
        <w:rPr>
          <w:rFonts w:ascii="Times New Roman" w:hAnsi="Times New Roman" w:cs="Times New Roman"/>
          <w:sz w:val="22"/>
        </w:rPr>
        <w:t xml:space="preserve"> R. Allen and M. Turvey</w:t>
      </w:r>
      <w:r w:rsidRPr="00997626">
        <w:rPr>
          <w:rFonts w:ascii="Times New Roman" w:hAnsi="Times New Roman" w:cs="Times New Roman" w:hint="eastAsia"/>
          <w:sz w:val="22"/>
        </w:rPr>
        <w:t>.</w:t>
      </w:r>
      <w:r w:rsidRPr="00997626">
        <w:rPr>
          <w:rFonts w:ascii="Times New Roman" w:hAnsi="Times New Roman" w:cs="Times New Roman"/>
          <w:sz w:val="22"/>
        </w:rPr>
        <w:t xml:space="preserve"> London: Routledge. 39-74.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 xml:space="preserve">Hamilton, Malcolm. 1995. </w:t>
      </w:r>
      <w:r w:rsidRPr="00997626">
        <w:rPr>
          <w:rFonts w:ascii="Times New Roman" w:hAnsi="Times New Roman" w:cs="Times New Roman"/>
          <w:i/>
          <w:sz w:val="22"/>
        </w:rPr>
        <w:t>The Sociology of Religion</w:t>
      </w:r>
      <w:r w:rsidRPr="00997626">
        <w:rPr>
          <w:rFonts w:ascii="Times New Roman" w:hAnsi="Times New Roman" w:cs="Times New Roman"/>
          <w:sz w:val="22"/>
        </w:rPr>
        <w:t xml:space="preserve">. London and New York: Routledge.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hint="eastAsia"/>
          <w:sz w:val="22"/>
        </w:rPr>
        <w:t xml:space="preserve">Hammon, Phillip E. 1991. </w:t>
      </w:r>
      <w:r w:rsidRPr="00997626">
        <w:rPr>
          <w:rFonts w:ascii="Times New Roman" w:hAnsi="Times New Roman" w:cs="Times New Roman"/>
          <w:sz w:val="22"/>
        </w:rPr>
        <w:t>“</w:t>
      </w:r>
      <w:r w:rsidRPr="00997626">
        <w:rPr>
          <w:rFonts w:ascii="Times New Roman" w:hAnsi="Times New Roman" w:cs="Times New Roman" w:hint="eastAsia"/>
          <w:sz w:val="22"/>
        </w:rPr>
        <w:t>How to Think about the Sacred in a Secular Age.</w:t>
      </w:r>
      <w:r w:rsidRPr="00997626">
        <w:rPr>
          <w:rFonts w:ascii="Times New Roman" w:hAnsi="Times New Roman" w:cs="Times New Roman"/>
          <w:sz w:val="22"/>
        </w:rPr>
        <w:t>”</w:t>
      </w:r>
      <w:r w:rsidRPr="00997626">
        <w:rPr>
          <w:rFonts w:ascii="Times New Roman" w:hAnsi="Times New Roman" w:cs="Times New Roman" w:hint="eastAsia"/>
          <w:sz w:val="22"/>
        </w:rPr>
        <w:t xml:space="preserve"> Pp. 115-127 in </w:t>
      </w:r>
      <w:r w:rsidRPr="00997626">
        <w:rPr>
          <w:rFonts w:ascii="Times New Roman" w:hAnsi="Times New Roman" w:cs="Times New Roman"/>
          <w:i/>
          <w:sz w:val="22"/>
        </w:rPr>
        <w:t>Religion and the Social Orde</w:t>
      </w:r>
      <w:r w:rsidRPr="00997626">
        <w:rPr>
          <w:rFonts w:ascii="Times New Roman" w:hAnsi="Times New Roman" w:cs="Times New Roman" w:hint="eastAsia"/>
          <w:i/>
          <w:sz w:val="22"/>
        </w:rPr>
        <w:t>r,</w:t>
      </w:r>
      <w:r w:rsidRPr="00997626">
        <w:rPr>
          <w:rFonts w:ascii="Times New Roman" w:hAnsi="Times New Roman" w:cs="Times New Roman"/>
          <w:i/>
          <w:sz w:val="22"/>
        </w:rPr>
        <w:t xml:space="preserve"> Vol. 1</w:t>
      </w:r>
      <w:r w:rsidRPr="00997626">
        <w:rPr>
          <w:rFonts w:ascii="Times New Roman" w:hAnsi="Times New Roman" w:cs="Times New Roman" w:hint="eastAsia"/>
          <w:i/>
          <w:sz w:val="22"/>
        </w:rPr>
        <w:t>,</w:t>
      </w:r>
      <w:r w:rsidRPr="00997626">
        <w:rPr>
          <w:rFonts w:ascii="Times New Roman" w:hAnsi="Times New Roman" w:cs="Times New Roman"/>
          <w:sz w:val="22"/>
        </w:rPr>
        <w:t xml:space="preserve"> </w:t>
      </w:r>
      <w:r w:rsidRPr="00997626">
        <w:rPr>
          <w:rFonts w:ascii="Times New Roman" w:hAnsi="Times New Roman" w:cs="Times New Roman" w:hint="eastAsia"/>
          <w:sz w:val="22"/>
        </w:rPr>
        <w:t xml:space="preserve">edited by David G. Bromley. </w:t>
      </w:r>
      <w:r w:rsidRPr="00997626">
        <w:rPr>
          <w:rFonts w:ascii="Times New Roman" w:hAnsi="Times New Roman" w:cs="Times New Roman"/>
          <w:sz w:val="22"/>
        </w:rPr>
        <w:t>Greenwich, CT and London: JAI Press.</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Hervieu-Léger</w:t>
      </w:r>
      <w:r w:rsidRPr="00997626">
        <w:rPr>
          <w:rFonts w:ascii="Times New Roman" w:hAnsi="Times New Roman" w:cs="Times New Roman" w:hint="eastAsia"/>
          <w:sz w:val="22"/>
        </w:rPr>
        <w:t>,</w:t>
      </w:r>
      <w:r w:rsidRPr="00997626">
        <w:rPr>
          <w:rFonts w:ascii="Times New Roman" w:hAnsi="Times New Roman" w:cs="Times New Roman"/>
          <w:sz w:val="22"/>
        </w:rPr>
        <w:t xml:space="preserve"> Danièle</w:t>
      </w:r>
      <w:r w:rsidRPr="00997626">
        <w:rPr>
          <w:rFonts w:ascii="Times New Roman" w:hAnsi="Times New Roman" w:cs="Times New Roman" w:hint="eastAsia"/>
          <w:sz w:val="22"/>
        </w:rPr>
        <w:t>. 2000.</w:t>
      </w:r>
      <w:r w:rsidRPr="00997626">
        <w:rPr>
          <w:rFonts w:ascii="Times New Roman" w:hAnsi="Times New Roman" w:cs="Times New Roman"/>
          <w:i/>
          <w:sz w:val="22"/>
        </w:rPr>
        <w:t xml:space="preserve"> Religion as a Chain of Memory</w:t>
      </w:r>
      <w:r w:rsidRPr="00997626">
        <w:rPr>
          <w:rFonts w:ascii="Times New Roman" w:hAnsi="Times New Roman" w:cs="Times New Roman" w:hint="eastAsia"/>
          <w:sz w:val="22"/>
        </w:rPr>
        <w:t>.</w:t>
      </w:r>
      <w:r w:rsidRPr="00997626">
        <w:rPr>
          <w:rFonts w:ascii="Times New Roman" w:hAnsi="Times New Roman" w:cs="Times New Roman"/>
          <w:sz w:val="22"/>
        </w:rPr>
        <w:t xml:space="preserve"> </w:t>
      </w:r>
      <w:r w:rsidRPr="00997626">
        <w:rPr>
          <w:rFonts w:ascii="Times New Roman" w:hAnsi="Times New Roman" w:cs="Times New Roman" w:hint="eastAsia"/>
          <w:sz w:val="22"/>
        </w:rPr>
        <w:t xml:space="preserve">New Brunswick, NJ: Rutgers University Press.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 xml:space="preserve">Kitching, Gavin. 2003. </w:t>
      </w:r>
      <w:r w:rsidRPr="00997626">
        <w:rPr>
          <w:rFonts w:ascii="Times New Roman" w:hAnsi="Times New Roman" w:cs="Times New Roman"/>
          <w:i/>
          <w:sz w:val="22"/>
        </w:rPr>
        <w:t>Wittgenstein and Society</w:t>
      </w:r>
      <w:r w:rsidRPr="00997626">
        <w:rPr>
          <w:rFonts w:ascii="Times New Roman" w:hAnsi="Times New Roman" w:cs="Times New Roman"/>
          <w:sz w:val="22"/>
        </w:rPr>
        <w:t xml:space="preserve">. Ashgate.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Klein, Terrance W. 2006. “The Supernatural as Language Game</w:t>
      </w:r>
      <w:r w:rsidRPr="00997626">
        <w:rPr>
          <w:rFonts w:ascii="Times New Roman" w:hAnsi="Times New Roman" w:cs="Times New Roman" w:hint="eastAsia"/>
          <w:sz w:val="22"/>
        </w:rPr>
        <w:t>.</w:t>
      </w:r>
      <w:r w:rsidRPr="00997626">
        <w:rPr>
          <w:rFonts w:ascii="Times New Roman" w:hAnsi="Times New Roman" w:cs="Times New Roman"/>
          <w:sz w:val="22"/>
        </w:rPr>
        <w:t xml:space="preserve">” </w:t>
      </w:r>
      <w:r w:rsidRPr="00997626">
        <w:rPr>
          <w:rFonts w:ascii="Times New Roman" w:hAnsi="Times New Roman" w:cs="Times New Roman"/>
          <w:i/>
          <w:sz w:val="22"/>
        </w:rPr>
        <w:t>Zygon</w:t>
      </w:r>
      <w:r w:rsidRPr="00997626">
        <w:rPr>
          <w:rFonts w:ascii="Times New Roman" w:hAnsi="Times New Roman" w:cs="Times New Roman"/>
          <w:sz w:val="22"/>
        </w:rPr>
        <w:t xml:space="preserve"> 41 (2): 365-379.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 xml:space="preserve">Leder, Drew. 2005. “Moving Beyond ‘Mind’ and ‘Body’.” </w:t>
      </w:r>
      <w:r w:rsidRPr="00997626">
        <w:rPr>
          <w:rFonts w:ascii="Times New Roman" w:hAnsi="Times New Roman" w:cs="Times New Roman"/>
          <w:i/>
          <w:sz w:val="22"/>
        </w:rPr>
        <w:t>Philosophy, Psychiatry and Psychology</w:t>
      </w:r>
      <w:r w:rsidRPr="00997626">
        <w:rPr>
          <w:rFonts w:ascii="Times New Roman" w:hAnsi="Times New Roman" w:cs="Times New Roman"/>
          <w:sz w:val="22"/>
        </w:rPr>
        <w:t xml:space="preserve"> 12 (2): 109-113. </w:t>
      </w:r>
    </w:p>
    <w:p w:rsidR="00E87C3B" w:rsidRPr="00997626" w:rsidRDefault="00E87C3B" w:rsidP="00997626">
      <w:pPr>
        <w:wordWrap/>
        <w:ind w:left="770" w:hangingChars="350" w:hanging="770"/>
        <w:jc w:val="left"/>
        <w:rPr>
          <w:rFonts w:ascii="Times New Roman" w:eastAsia="바탕" w:hAnsi="Times New Roman" w:cs="Times New Roman"/>
          <w:sz w:val="22"/>
        </w:rPr>
      </w:pPr>
      <w:r w:rsidRPr="00997626">
        <w:rPr>
          <w:rFonts w:ascii="Times New Roman" w:hAnsi="Times New Roman" w:cs="Times New Roman"/>
          <w:sz w:val="22"/>
        </w:rPr>
        <w:t>McGuire, Meredith B. 1990</w:t>
      </w:r>
      <w:r w:rsidRPr="00997626">
        <w:rPr>
          <w:rFonts w:ascii="Times New Roman" w:hAnsi="Times New Roman" w:cs="Times New Roman" w:hint="eastAsia"/>
          <w:sz w:val="22"/>
        </w:rPr>
        <w:t>.</w:t>
      </w:r>
      <w:r w:rsidRPr="00997626">
        <w:rPr>
          <w:rFonts w:ascii="Times New Roman" w:hAnsi="Times New Roman" w:cs="Times New Roman"/>
          <w:sz w:val="22"/>
        </w:rPr>
        <w:t xml:space="preserve"> “</w:t>
      </w:r>
      <w:r w:rsidRPr="00997626">
        <w:rPr>
          <w:rFonts w:ascii="Times New Roman" w:eastAsia="바탕" w:hAnsi="Times New Roman" w:cs="Times New Roman"/>
          <w:sz w:val="22"/>
        </w:rPr>
        <w:t>Religion and the Body: Rematerializing the Human Body in the Social Sciences of Religion</w:t>
      </w:r>
      <w:r w:rsidRPr="00997626">
        <w:rPr>
          <w:rFonts w:ascii="Times New Roman" w:eastAsia="바탕" w:hAnsi="Times New Roman" w:cs="Times New Roman" w:hint="eastAsia"/>
          <w:sz w:val="22"/>
        </w:rPr>
        <w:t>.</w:t>
      </w:r>
      <w:r w:rsidRPr="00997626">
        <w:rPr>
          <w:rFonts w:ascii="Times New Roman" w:eastAsia="바탕" w:hAnsi="Times New Roman" w:cs="Times New Roman"/>
          <w:sz w:val="22"/>
        </w:rPr>
        <w:t>”</w:t>
      </w:r>
      <w:r w:rsidRPr="00997626">
        <w:rPr>
          <w:rFonts w:ascii="Times New Roman" w:eastAsia="바탕" w:hAnsi="Times New Roman" w:cs="Times New Roman" w:hint="eastAsia"/>
          <w:sz w:val="22"/>
        </w:rPr>
        <w:t xml:space="preserve"> </w:t>
      </w:r>
      <w:r w:rsidRPr="00997626">
        <w:rPr>
          <w:rFonts w:ascii="Times New Roman" w:eastAsia="바탕" w:hAnsi="Times New Roman" w:cs="Times New Roman"/>
          <w:i/>
          <w:sz w:val="22"/>
        </w:rPr>
        <w:t>Journal for the Scientific Study of Religion</w:t>
      </w:r>
      <w:r w:rsidRPr="00997626">
        <w:rPr>
          <w:rFonts w:ascii="Times New Roman" w:eastAsia="바탕" w:hAnsi="Times New Roman" w:cs="Times New Roman" w:hint="eastAsia"/>
          <w:sz w:val="22"/>
        </w:rPr>
        <w:t xml:space="preserve"> </w:t>
      </w:r>
      <w:r w:rsidRPr="00997626">
        <w:rPr>
          <w:rFonts w:ascii="Times New Roman" w:eastAsia="바탕" w:hAnsi="Times New Roman" w:cs="Times New Roman"/>
          <w:sz w:val="22"/>
        </w:rPr>
        <w:t>29(3): 283-296</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hint="eastAsia"/>
          <w:sz w:val="22"/>
        </w:rPr>
        <w:t xml:space="preserve">Morgan, D. H. J. and Sue Scott. 1993. </w:t>
      </w:r>
      <w:r w:rsidRPr="00997626">
        <w:rPr>
          <w:rFonts w:ascii="Times New Roman" w:hAnsi="Times New Roman" w:cs="Times New Roman"/>
          <w:sz w:val="22"/>
        </w:rPr>
        <w:t>“</w:t>
      </w:r>
      <w:r w:rsidRPr="00997626">
        <w:rPr>
          <w:rFonts w:ascii="Times New Roman" w:hAnsi="Times New Roman" w:cs="Times New Roman" w:hint="eastAsia"/>
          <w:sz w:val="22"/>
        </w:rPr>
        <w:t>Bodies in a Social Landscape.</w:t>
      </w:r>
      <w:r w:rsidRPr="00997626">
        <w:rPr>
          <w:rFonts w:ascii="Times New Roman" w:hAnsi="Times New Roman" w:cs="Times New Roman"/>
          <w:sz w:val="22"/>
        </w:rPr>
        <w:t>”</w:t>
      </w:r>
      <w:r w:rsidRPr="00997626">
        <w:rPr>
          <w:rFonts w:ascii="Times New Roman" w:hAnsi="Times New Roman" w:cs="Times New Roman" w:hint="eastAsia"/>
          <w:sz w:val="22"/>
        </w:rPr>
        <w:t xml:space="preserve"> </w:t>
      </w:r>
      <w:r w:rsidRPr="00997626">
        <w:rPr>
          <w:rFonts w:ascii="Times New Roman" w:hAnsi="Times New Roman" w:cs="Times New Roman"/>
          <w:sz w:val="22"/>
        </w:rPr>
        <w:t>P</w:t>
      </w:r>
      <w:r w:rsidRPr="00997626">
        <w:rPr>
          <w:rFonts w:ascii="Times New Roman" w:hAnsi="Times New Roman" w:cs="Times New Roman" w:hint="eastAsia"/>
          <w:sz w:val="22"/>
        </w:rPr>
        <w:t xml:space="preserve">p.  1-21 in </w:t>
      </w:r>
      <w:r w:rsidRPr="00997626">
        <w:rPr>
          <w:rFonts w:ascii="Times New Roman" w:hAnsi="Times New Roman" w:cs="Times New Roman" w:hint="eastAsia"/>
          <w:i/>
          <w:sz w:val="22"/>
        </w:rPr>
        <w:t>Body Matters: Essays on the Sociology of Body</w:t>
      </w:r>
      <w:r w:rsidRPr="00997626">
        <w:rPr>
          <w:rFonts w:ascii="Times New Roman" w:hAnsi="Times New Roman" w:cs="Times New Roman" w:hint="eastAsia"/>
          <w:sz w:val="22"/>
        </w:rPr>
        <w:t xml:space="preserve">, edited by Sue Scott and David Morgan. Bristol, PA and London: The Falmer Press.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hint="eastAsia"/>
          <w:sz w:val="22"/>
        </w:rPr>
        <w:t xml:space="preserve">Nelson, Timothy J. 2005 </w:t>
      </w:r>
      <w:r w:rsidRPr="00997626">
        <w:rPr>
          <w:rFonts w:ascii="Times New Roman" w:hAnsi="Times New Roman" w:cs="Times New Roman" w:hint="eastAsia"/>
          <w:i/>
          <w:sz w:val="22"/>
        </w:rPr>
        <w:t>Every Time I Feel The Spirit.</w:t>
      </w:r>
      <w:r w:rsidRPr="00997626">
        <w:rPr>
          <w:rFonts w:ascii="Times New Roman" w:hAnsi="Times New Roman" w:cs="Times New Roman" w:hint="eastAsia"/>
          <w:sz w:val="22"/>
        </w:rPr>
        <w:t xml:space="preserve"> New York and London: New York University Press.</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 xml:space="preserve">Nisbet, Robert A. </w:t>
      </w:r>
      <w:r w:rsidRPr="00997626">
        <w:rPr>
          <w:rFonts w:ascii="Times New Roman" w:hAnsi="Times New Roman" w:cs="Times New Roman" w:hint="eastAsia"/>
          <w:sz w:val="22"/>
        </w:rPr>
        <w:t xml:space="preserve">1966. </w:t>
      </w:r>
      <w:r w:rsidRPr="00997626">
        <w:rPr>
          <w:rFonts w:ascii="Times New Roman" w:hAnsi="Times New Roman" w:cs="Times New Roman" w:hint="eastAsia"/>
          <w:i/>
          <w:sz w:val="22"/>
        </w:rPr>
        <w:t>The Sociological Tradition</w:t>
      </w:r>
      <w:r w:rsidRPr="00997626">
        <w:rPr>
          <w:rFonts w:ascii="Times New Roman" w:hAnsi="Times New Roman" w:cs="Times New Roman" w:hint="eastAsia"/>
          <w:sz w:val="22"/>
        </w:rPr>
        <w:t xml:space="preserve">. New York: Basic Books.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hint="eastAsia"/>
          <w:sz w:val="22"/>
          <w:u w:val="single"/>
        </w:rPr>
        <w:t xml:space="preserve"> </w:t>
      </w:r>
      <w:r w:rsidR="00997626" w:rsidRPr="00997626">
        <w:rPr>
          <w:rFonts w:ascii="Times New Roman" w:hAnsi="Times New Roman" w:cs="Times New Roman" w:hint="eastAsia"/>
          <w:sz w:val="22"/>
          <w:u w:val="single"/>
        </w:rPr>
        <w:t xml:space="preserve"> </w:t>
      </w:r>
      <w:r w:rsidRPr="00997626">
        <w:rPr>
          <w:rFonts w:ascii="Times New Roman" w:hAnsi="Times New Roman" w:cs="Times New Roman" w:hint="eastAsia"/>
          <w:sz w:val="22"/>
          <w:u w:val="single"/>
        </w:rPr>
        <w:t xml:space="preserve">            </w:t>
      </w:r>
      <w:r w:rsidRPr="00997626">
        <w:rPr>
          <w:rFonts w:ascii="Times New Roman" w:hAnsi="Times New Roman" w:cs="Times New Roman" w:hint="eastAsia"/>
          <w:sz w:val="22"/>
        </w:rPr>
        <w:t xml:space="preserve">. </w:t>
      </w:r>
      <w:r w:rsidRPr="00997626">
        <w:rPr>
          <w:rFonts w:ascii="Times New Roman" w:hAnsi="Times New Roman" w:cs="Times New Roman"/>
          <w:sz w:val="22"/>
        </w:rPr>
        <w:t xml:space="preserve">1974. </w:t>
      </w:r>
      <w:r w:rsidRPr="00997626">
        <w:rPr>
          <w:rFonts w:ascii="Times New Roman" w:hAnsi="Times New Roman" w:cs="Times New Roman"/>
          <w:i/>
          <w:sz w:val="22"/>
        </w:rPr>
        <w:t>The Sociology of Emile Durkheim</w:t>
      </w:r>
      <w:r w:rsidRPr="00997626">
        <w:rPr>
          <w:rFonts w:ascii="Times New Roman" w:hAnsi="Times New Roman" w:cs="Times New Roman"/>
          <w:sz w:val="22"/>
        </w:rPr>
        <w:t xml:space="preserve">. New York: Oxford University Press.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hint="eastAsia"/>
          <w:sz w:val="22"/>
        </w:rPr>
        <w:t xml:space="preserve">Orsi, Robert A. 2005. </w:t>
      </w:r>
      <w:r w:rsidRPr="00997626">
        <w:rPr>
          <w:rFonts w:ascii="Times New Roman" w:hAnsi="Times New Roman" w:cs="Times New Roman" w:hint="eastAsia"/>
          <w:i/>
          <w:sz w:val="22"/>
        </w:rPr>
        <w:t>Between Heaven and Earth</w:t>
      </w:r>
      <w:r w:rsidRPr="00997626">
        <w:rPr>
          <w:rFonts w:ascii="Times New Roman" w:hAnsi="Times New Roman" w:cs="Times New Roman" w:hint="eastAsia"/>
          <w:sz w:val="22"/>
        </w:rPr>
        <w:t xml:space="preserve">. Princeton and Oxford: Princeton University Press.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 xml:space="preserve">Otto, Rudolf. 1923. </w:t>
      </w:r>
      <w:r w:rsidRPr="00997626">
        <w:rPr>
          <w:rFonts w:ascii="Times New Roman" w:hAnsi="Times New Roman" w:cs="Times New Roman"/>
          <w:i/>
          <w:sz w:val="22"/>
        </w:rPr>
        <w:t>The Idea of the Holy</w:t>
      </w:r>
      <w:r w:rsidRPr="00997626">
        <w:rPr>
          <w:rFonts w:ascii="Times New Roman" w:hAnsi="Times New Roman" w:cs="Times New Roman"/>
          <w:sz w:val="22"/>
        </w:rPr>
        <w:t xml:space="preserve">. London, Oxford and New York: Oxford University Press.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 xml:space="preserve">Phillips, D. Z. 1966. </w:t>
      </w:r>
      <w:r w:rsidRPr="00997626">
        <w:rPr>
          <w:rFonts w:ascii="Times New Roman" w:hAnsi="Times New Roman" w:cs="Times New Roman"/>
          <w:i/>
          <w:sz w:val="22"/>
        </w:rPr>
        <w:t>The Concept of Prayer.</w:t>
      </w:r>
      <w:r w:rsidRPr="00997626">
        <w:rPr>
          <w:rFonts w:ascii="Times New Roman" w:hAnsi="Times New Roman" w:cs="Times New Roman"/>
          <w:sz w:val="22"/>
        </w:rPr>
        <w:t xml:space="preserve"> New York:  Schocken Books.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u w:val="single"/>
        </w:rPr>
        <w:t xml:space="preserve">        </w:t>
      </w:r>
      <w:r w:rsidRPr="00997626">
        <w:rPr>
          <w:rFonts w:ascii="Times New Roman" w:hAnsi="Times New Roman" w:cs="Times New Roman" w:hint="eastAsia"/>
          <w:sz w:val="22"/>
          <w:u w:val="single"/>
        </w:rPr>
        <w:t xml:space="preserve"> </w:t>
      </w:r>
      <w:r w:rsidRPr="00997626">
        <w:rPr>
          <w:rFonts w:ascii="Times New Roman" w:hAnsi="Times New Roman" w:cs="Times New Roman"/>
          <w:sz w:val="22"/>
          <w:u w:val="single"/>
        </w:rPr>
        <w:t xml:space="preserve">  </w:t>
      </w:r>
      <w:r w:rsidRPr="00997626">
        <w:rPr>
          <w:rFonts w:ascii="Times New Roman" w:hAnsi="Times New Roman" w:cs="Times New Roman"/>
          <w:sz w:val="22"/>
        </w:rPr>
        <w:t xml:space="preserve">. 1976. </w:t>
      </w:r>
      <w:r w:rsidRPr="00997626">
        <w:rPr>
          <w:rFonts w:ascii="Times New Roman" w:hAnsi="Times New Roman" w:cs="Times New Roman"/>
          <w:i/>
          <w:sz w:val="22"/>
        </w:rPr>
        <w:t>Religion Without Explanation</w:t>
      </w:r>
      <w:r w:rsidRPr="00997626">
        <w:rPr>
          <w:rFonts w:ascii="Times New Roman" w:hAnsi="Times New Roman" w:cs="Times New Roman"/>
          <w:sz w:val="22"/>
        </w:rPr>
        <w:t xml:space="preserve">. Oxford: Basil Blackwell.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hint="eastAsia"/>
          <w:sz w:val="22"/>
          <w:u w:val="single"/>
        </w:rPr>
        <w:t xml:space="preserve">          </w:t>
      </w:r>
      <w:r w:rsidRPr="00997626">
        <w:rPr>
          <w:rFonts w:ascii="Times New Roman" w:hAnsi="Times New Roman" w:cs="Times New Roman"/>
          <w:sz w:val="22"/>
          <w:u w:val="single"/>
        </w:rPr>
        <w:t xml:space="preserve"> </w:t>
      </w:r>
      <w:r w:rsidRPr="00997626">
        <w:rPr>
          <w:rFonts w:ascii="Times New Roman" w:hAnsi="Times New Roman" w:cs="Times New Roman"/>
          <w:sz w:val="22"/>
        </w:rPr>
        <w:t xml:space="preserve">. 1995. </w:t>
      </w:r>
      <w:r w:rsidRPr="00997626">
        <w:rPr>
          <w:rFonts w:ascii="Times New Roman" w:hAnsi="Times New Roman" w:cs="Times New Roman"/>
          <w:i/>
          <w:sz w:val="22"/>
        </w:rPr>
        <w:t>Faith After Foundationalism</w:t>
      </w:r>
      <w:r w:rsidRPr="00997626">
        <w:rPr>
          <w:rFonts w:ascii="Times New Roman" w:hAnsi="Times New Roman" w:cs="Times New Roman"/>
          <w:sz w:val="22"/>
        </w:rPr>
        <w:t xml:space="preserve">. Boulder, San Francisco and Oxford: Westview Press.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 xml:space="preserve">Rhees, Rush. 1997. </w:t>
      </w:r>
      <w:r w:rsidRPr="00997626">
        <w:rPr>
          <w:rFonts w:ascii="Times New Roman" w:hAnsi="Times New Roman" w:cs="Times New Roman"/>
          <w:i/>
          <w:sz w:val="22"/>
        </w:rPr>
        <w:t>Rush Rhees On Religion and Philosophy</w:t>
      </w:r>
      <w:r w:rsidRPr="00997626">
        <w:rPr>
          <w:rFonts w:ascii="Times New Roman" w:hAnsi="Times New Roman" w:cs="Times New Roman" w:hint="eastAsia"/>
          <w:sz w:val="22"/>
        </w:rPr>
        <w:t>,</w:t>
      </w:r>
      <w:r w:rsidRPr="00997626">
        <w:rPr>
          <w:rFonts w:ascii="Times New Roman" w:hAnsi="Times New Roman" w:cs="Times New Roman"/>
          <w:sz w:val="22"/>
        </w:rPr>
        <w:t xml:space="preserve"> ed</w:t>
      </w:r>
      <w:r w:rsidRPr="00997626">
        <w:rPr>
          <w:rFonts w:ascii="Times New Roman" w:hAnsi="Times New Roman" w:cs="Times New Roman" w:hint="eastAsia"/>
          <w:sz w:val="22"/>
        </w:rPr>
        <w:t>ited</w:t>
      </w:r>
      <w:r w:rsidRPr="00997626">
        <w:rPr>
          <w:rFonts w:ascii="Times New Roman" w:hAnsi="Times New Roman" w:cs="Times New Roman"/>
          <w:sz w:val="22"/>
        </w:rPr>
        <w:t xml:space="preserve"> by D. Z. Phillips. Cambridge: Cambridge University Press.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 xml:space="preserve">Runciman, W. G. 1969. “The Sociological Explanation of ‘Religious’ Belief.” </w:t>
      </w:r>
      <w:r w:rsidRPr="00997626">
        <w:rPr>
          <w:rFonts w:ascii="Times New Roman" w:hAnsi="Times New Roman" w:cs="Times New Roman"/>
          <w:i/>
          <w:sz w:val="22"/>
        </w:rPr>
        <w:t>Archives Europeennes de Sociologie</w:t>
      </w:r>
      <w:r w:rsidRPr="00997626">
        <w:rPr>
          <w:rFonts w:ascii="Times New Roman" w:hAnsi="Times New Roman" w:cs="Times New Roman"/>
          <w:sz w:val="22"/>
        </w:rPr>
        <w:t xml:space="preserve"> 10 (2): 149-191.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hint="eastAsia"/>
          <w:sz w:val="22"/>
        </w:rPr>
        <w:t xml:space="preserve">Samarin, William J. 1972. </w:t>
      </w:r>
      <w:r w:rsidRPr="00997626">
        <w:rPr>
          <w:rFonts w:ascii="Times New Roman" w:hAnsi="Times New Roman" w:cs="Times New Roman"/>
          <w:sz w:val="22"/>
        </w:rPr>
        <w:t>“</w:t>
      </w:r>
      <w:r w:rsidRPr="00997626">
        <w:rPr>
          <w:rFonts w:ascii="Times New Roman" w:hAnsi="Times New Roman" w:cs="Times New Roman" w:hint="eastAsia"/>
          <w:sz w:val="22"/>
        </w:rPr>
        <w:t>Sociolinguistic vs. Neurophysiological Explanations for Glossolalia: Comment on Goodman</w:t>
      </w:r>
      <w:r w:rsidRPr="00997626">
        <w:rPr>
          <w:rFonts w:ascii="Times New Roman" w:hAnsi="Times New Roman" w:cs="Times New Roman"/>
          <w:sz w:val="22"/>
        </w:rPr>
        <w:t>’</w:t>
      </w:r>
      <w:r w:rsidRPr="00997626">
        <w:rPr>
          <w:rFonts w:ascii="Times New Roman" w:hAnsi="Times New Roman" w:cs="Times New Roman" w:hint="eastAsia"/>
          <w:sz w:val="22"/>
        </w:rPr>
        <w:t>s Paper.</w:t>
      </w:r>
      <w:r w:rsidRPr="00997626">
        <w:rPr>
          <w:rFonts w:ascii="Times New Roman" w:hAnsi="Times New Roman" w:cs="Times New Roman"/>
          <w:sz w:val="22"/>
        </w:rPr>
        <w:t>”</w:t>
      </w:r>
      <w:r w:rsidRPr="00997626">
        <w:rPr>
          <w:rFonts w:ascii="Times New Roman" w:hAnsi="Times New Roman" w:cs="Times New Roman" w:hint="eastAsia"/>
          <w:sz w:val="22"/>
        </w:rPr>
        <w:t xml:space="preserve"> </w:t>
      </w:r>
      <w:r w:rsidRPr="00997626">
        <w:rPr>
          <w:rFonts w:ascii="Times New Roman" w:hAnsi="Times New Roman" w:cs="Times New Roman" w:hint="eastAsia"/>
          <w:i/>
          <w:sz w:val="22"/>
        </w:rPr>
        <w:t xml:space="preserve">Journal for </w:t>
      </w:r>
      <w:r w:rsidRPr="00997626">
        <w:rPr>
          <w:rFonts w:ascii="Times New Roman" w:hAnsi="Times New Roman" w:cs="Times New Roman"/>
          <w:i/>
          <w:sz w:val="22"/>
        </w:rPr>
        <w:t>the</w:t>
      </w:r>
      <w:r w:rsidRPr="00997626">
        <w:rPr>
          <w:rFonts w:ascii="Times New Roman" w:hAnsi="Times New Roman" w:cs="Times New Roman" w:hint="eastAsia"/>
          <w:i/>
          <w:sz w:val="22"/>
        </w:rPr>
        <w:t xml:space="preserve"> Scientific Study of Religion</w:t>
      </w:r>
      <w:r w:rsidRPr="00997626">
        <w:rPr>
          <w:rFonts w:ascii="Times New Roman" w:hAnsi="Times New Roman" w:cs="Times New Roman" w:hint="eastAsia"/>
          <w:sz w:val="22"/>
        </w:rPr>
        <w:t xml:space="preserve"> 11 (3): 293-296.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 xml:space="preserve">Scheper-Hughes, Nancy and Margaret M. Lock. 1987. “The Mindful Body: A Prolegomenon to Future Work in Medical Anthropology.” </w:t>
      </w:r>
      <w:r w:rsidRPr="00997626">
        <w:rPr>
          <w:rFonts w:ascii="Times New Roman" w:hAnsi="Times New Roman" w:cs="Times New Roman"/>
          <w:i/>
          <w:sz w:val="22"/>
        </w:rPr>
        <w:t>Medical Anthropology Quarterly</w:t>
      </w:r>
      <w:r w:rsidRPr="00997626">
        <w:rPr>
          <w:rFonts w:ascii="Times New Roman" w:hAnsi="Times New Roman" w:cs="Times New Roman"/>
          <w:sz w:val="22"/>
        </w:rPr>
        <w:t xml:space="preserve"> 1 (1): 6-41.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 xml:space="preserve">Schutz, Alfred. 1967. </w:t>
      </w:r>
      <w:r w:rsidRPr="00997626">
        <w:rPr>
          <w:rFonts w:ascii="Times New Roman" w:hAnsi="Times New Roman" w:cs="Times New Roman"/>
          <w:i/>
          <w:sz w:val="22"/>
        </w:rPr>
        <w:t>The Phenomenology of the Social World</w:t>
      </w:r>
      <w:r w:rsidRPr="00997626">
        <w:rPr>
          <w:rFonts w:ascii="Times New Roman" w:hAnsi="Times New Roman" w:cs="Times New Roman"/>
          <w:sz w:val="22"/>
        </w:rPr>
        <w:t xml:space="preserve">. Evanston, IL: Northwestern University Press.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 xml:space="preserve">Springs, Jason A. 2008. “What Cultural Theorists of Religion Have to Learn from Wittgenstein; Or, How to Read Geertz as a Practice Theorist.” </w:t>
      </w:r>
      <w:r w:rsidRPr="00997626">
        <w:rPr>
          <w:rFonts w:ascii="Times New Roman" w:hAnsi="Times New Roman" w:cs="Times New Roman"/>
          <w:i/>
          <w:sz w:val="22"/>
        </w:rPr>
        <w:t>Journal of the American Academy of Religion</w:t>
      </w:r>
      <w:r w:rsidRPr="00997626">
        <w:rPr>
          <w:rFonts w:ascii="Times New Roman" w:hAnsi="Times New Roman" w:cs="Times New Roman"/>
          <w:sz w:val="22"/>
        </w:rPr>
        <w:t xml:space="preserve"> 76 (4): 934-969.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Sullivan, Lawrence E. 1990. “Body Works: Knowledge of the Body in the Study of Religion</w:t>
      </w:r>
      <w:r w:rsidRPr="00997626">
        <w:rPr>
          <w:rFonts w:ascii="Times New Roman" w:hAnsi="Times New Roman" w:cs="Times New Roman" w:hint="eastAsia"/>
          <w:sz w:val="22"/>
        </w:rPr>
        <w:t>.</w:t>
      </w:r>
      <w:r w:rsidRPr="00997626">
        <w:rPr>
          <w:rFonts w:ascii="Times New Roman" w:hAnsi="Times New Roman" w:cs="Times New Roman"/>
          <w:sz w:val="22"/>
        </w:rPr>
        <w:t xml:space="preserve">” </w:t>
      </w:r>
      <w:r w:rsidRPr="00997626">
        <w:rPr>
          <w:rFonts w:ascii="Times New Roman" w:hAnsi="Times New Roman" w:cs="Times New Roman"/>
          <w:i/>
          <w:sz w:val="22"/>
        </w:rPr>
        <w:t>History of Religions</w:t>
      </w:r>
      <w:r w:rsidRPr="00997626">
        <w:rPr>
          <w:rFonts w:ascii="Times New Roman" w:hAnsi="Times New Roman" w:cs="Times New Roman"/>
          <w:sz w:val="22"/>
        </w:rPr>
        <w:t xml:space="preserve"> 30 (1): 86-99.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Turner, Bryan. 1997. “The Body in Western Society: Social Theory and its Perspectives</w:t>
      </w:r>
      <w:r w:rsidRPr="00997626">
        <w:rPr>
          <w:rFonts w:ascii="Times New Roman" w:hAnsi="Times New Roman" w:cs="Times New Roman" w:hint="eastAsia"/>
          <w:sz w:val="22"/>
        </w:rPr>
        <w:t>.</w:t>
      </w:r>
      <w:r w:rsidRPr="00997626">
        <w:rPr>
          <w:rFonts w:ascii="Times New Roman" w:hAnsi="Times New Roman" w:cs="Times New Roman"/>
          <w:sz w:val="22"/>
        </w:rPr>
        <w:t xml:space="preserve">” </w:t>
      </w:r>
      <w:r w:rsidRPr="00997626">
        <w:rPr>
          <w:rFonts w:ascii="Times New Roman" w:hAnsi="Times New Roman" w:cs="Times New Roman" w:hint="eastAsia"/>
          <w:sz w:val="22"/>
        </w:rPr>
        <w:t>Pp. 15-41 i</w:t>
      </w:r>
      <w:r w:rsidRPr="00997626">
        <w:rPr>
          <w:rFonts w:ascii="Times New Roman" w:hAnsi="Times New Roman" w:cs="Times New Roman"/>
          <w:sz w:val="22"/>
        </w:rPr>
        <w:t xml:space="preserve">n </w:t>
      </w:r>
      <w:r w:rsidRPr="00997626">
        <w:rPr>
          <w:rFonts w:ascii="Times New Roman" w:hAnsi="Times New Roman" w:cs="Times New Roman"/>
          <w:i/>
          <w:sz w:val="22"/>
        </w:rPr>
        <w:t>Religion and Body</w:t>
      </w:r>
      <w:r w:rsidRPr="00997626">
        <w:rPr>
          <w:rFonts w:ascii="Times New Roman" w:hAnsi="Times New Roman" w:cs="Times New Roman" w:hint="eastAsia"/>
          <w:sz w:val="22"/>
        </w:rPr>
        <w:t>,</w:t>
      </w:r>
      <w:r w:rsidRPr="00997626">
        <w:rPr>
          <w:rFonts w:ascii="Times New Roman" w:hAnsi="Times New Roman" w:cs="Times New Roman"/>
          <w:sz w:val="22"/>
        </w:rPr>
        <w:t xml:space="preserve"> ed</w:t>
      </w:r>
      <w:r w:rsidRPr="00997626">
        <w:rPr>
          <w:rFonts w:ascii="Times New Roman" w:hAnsi="Times New Roman" w:cs="Times New Roman" w:hint="eastAsia"/>
          <w:sz w:val="22"/>
        </w:rPr>
        <w:t>ited</w:t>
      </w:r>
      <w:r w:rsidRPr="00997626">
        <w:rPr>
          <w:rFonts w:ascii="Times New Roman" w:hAnsi="Times New Roman" w:cs="Times New Roman"/>
          <w:sz w:val="22"/>
        </w:rPr>
        <w:t xml:space="preserve"> by Sarah Coakley. Cambridge: Cambridge University Press.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u w:val="single"/>
        </w:rPr>
        <w:t xml:space="preserve"> </w:t>
      </w:r>
      <w:r w:rsidRPr="00997626">
        <w:rPr>
          <w:rFonts w:ascii="Times New Roman" w:hAnsi="Times New Roman" w:cs="Times New Roman" w:hint="eastAsia"/>
          <w:sz w:val="22"/>
          <w:u w:val="single"/>
        </w:rPr>
        <w:t xml:space="preserve">         </w:t>
      </w:r>
      <w:r w:rsidRPr="00997626">
        <w:rPr>
          <w:rFonts w:ascii="Times New Roman" w:hAnsi="Times New Roman" w:cs="Times New Roman"/>
          <w:sz w:val="22"/>
          <w:u w:val="single"/>
        </w:rPr>
        <w:t xml:space="preserve"> </w:t>
      </w:r>
      <w:r w:rsidRPr="00997626">
        <w:rPr>
          <w:rFonts w:ascii="Times New Roman" w:hAnsi="Times New Roman" w:cs="Times New Roman"/>
          <w:sz w:val="22"/>
        </w:rPr>
        <w:t>. 2006. “Body</w:t>
      </w:r>
      <w:r w:rsidRPr="00997626">
        <w:rPr>
          <w:rFonts w:ascii="Times New Roman" w:hAnsi="Times New Roman" w:cs="Times New Roman" w:hint="eastAsia"/>
          <w:sz w:val="22"/>
        </w:rPr>
        <w:t>.</w:t>
      </w:r>
      <w:r w:rsidRPr="00997626">
        <w:rPr>
          <w:rFonts w:ascii="Times New Roman" w:hAnsi="Times New Roman" w:cs="Times New Roman"/>
          <w:sz w:val="22"/>
        </w:rPr>
        <w:t xml:space="preserve">” </w:t>
      </w:r>
      <w:r w:rsidRPr="00997626">
        <w:rPr>
          <w:rFonts w:ascii="Times New Roman" w:hAnsi="Times New Roman" w:cs="Times New Roman"/>
          <w:i/>
          <w:sz w:val="22"/>
        </w:rPr>
        <w:t>Theory, Culture and Society</w:t>
      </w:r>
      <w:r w:rsidRPr="00997626">
        <w:rPr>
          <w:rFonts w:ascii="Times New Roman" w:hAnsi="Times New Roman" w:cs="Times New Roman"/>
          <w:sz w:val="22"/>
        </w:rPr>
        <w:t xml:space="preserve"> 23 (2-3): 223-229.</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 xml:space="preserve">Van der Leeuw, Geerardus. 1986. </w:t>
      </w:r>
      <w:r w:rsidRPr="00997626">
        <w:rPr>
          <w:rFonts w:ascii="Times New Roman" w:hAnsi="Times New Roman" w:cs="Times New Roman"/>
          <w:i/>
          <w:sz w:val="22"/>
        </w:rPr>
        <w:t>Religion in Essence and Manifestation</w:t>
      </w:r>
      <w:r w:rsidRPr="00997626">
        <w:rPr>
          <w:rFonts w:ascii="Times New Roman" w:hAnsi="Times New Roman" w:cs="Times New Roman"/>
          <w:sz w:val="22"/>
        </w:rPr>
        <w:t xml:space="preserve">. Princeton: Princeton University Press.  </w:t>
      </w:r>
    </w:p>
    <w:p w:rsidR="00E87C3B" w:rsidRPr="00997626" w:rsidRDefault="00E87C3B" w:rsidP="00997626">
      <w:pPr>
        <w:wordWrap/>
        <w:ind w:left="770" w:hangingChars="350" w:hanging="770"/>
        <w:jc w:val="left"/>
        <w:rPr>
          <w:rFonts w:ascii="Times New Roman" w:hAnsi="Times New Roman" w:cs="Times New Roman"/>
          <w:sz w:val="22"/>
        </w:rPr>
      </w:pPr>
      <w:r w:rsidRPr="00997626">
        <w:rPr>
          <w:rFonts w:ascii="Times New Roman" w:hAnsi="Times New Roman" w:cs="Times New Roman"/>
          <w:sz w:val="22"/>
        </w:rPr>
        <w:t>Winch, Peter. 1970. “Understanding a Primitive Society</w:t>
      </w:r>
      <w:r w:rsidRPr="00997626">
        <w:rPr>
          <w:rFonts w:ascii="Times New Roman" w:hAnsi="Times New Roman" w:cs="Times New Roman" w:hint="eastAsia"/>
          <w:sz w:val="22"/>
        </w:rPr>
        <w:t>.</w:t>
      </w:r>
      <w:r w:rsidRPr="00997626">
        <w:rPr>
          <w:rFonts w:ascii="Times New Roman" w:hAnsi="Times New Roman" w:cs="Times New Roman"/>
          <w:sz w:val="22"/>
        </w:rPr>
        <w:t>”</w:t>
      </w:r>
      <w:r w:rsidRPr="00997626">
        <w:rPr>
          <w:rFonts w:ascii="Times New Roman" w:hAnsi="Times New Roman" w:cs="Times New Roman" w:hint="eastAsia"/>
          <w:sz w:val="22"/>
        </w:rPr>
        <w:t xml:space="preserve"> Pp. 78-111 in </w:t>
      </w:r>
      <w:r w:rsidRPr="00997626">
        <w:rPr>
          <w:rFonts w:ascii="Times New Roman" w:hAnsi="Times New Roman" w:cs="Times New Roman"/>
          <w:i/>
          <w:sz w:val="22"/>
        </w:rPr>
        <w:t>Rationality</w:t>
      </w:r>
      <w:r w:rsidRPr="00997626">
        <w:rPr>
          <w:rFonts w:ascii="Times New Roman" w:hAnsi="Times New Roman" w:cs="Times New Roman" w:hint="eastAsia"/>
          <w:sz w:val="22"/>
        </w:rPr>
        <w:t>,</w:t>
      </w:r>
      <w:r w:rsidRPr="00997626">
        <w:rPr>
          <w:rFonts w:ascii="Times New Roman" w:hAnsi="Times New Roman" w:cs="Times New Roman"/>
          <w:sz w:val="22"/>
        </w:rPr>
        <w:t xml:space="preserve"> ed</w:t>
      </w:r>
      <w:r w:rsidRPr="00997626">
        <w:rPr>
          <w:rFonts w:ascii="Times New Roman" w:hAnsi="Times New Roman" w:cs="Times New Roman" w:hint="eastAsia"/>
          <w:sz w:val="22"/>
        </w:rPr>
        <w:t>ited</w:t>
      </w:r>
      <w:r w:rsidRPr="00997626">
        <w:rPr>
          <w:rFonts w:ascii="Times New Roman" w:hAnsi="Times New Roman" w:cs="Times New Roman"/>
          <w:sz w:val="22"/>
        </w:rPr>
        <w:t xml:space="preserve"> by Bryan R. Wilson. New York, Evanston, San Francisco and London: Harper &amp; Row, Publishers. </w:t>
      </w:r>
    </w:p>
    <w:sectPr w:rsidR="00E87C3B" w:rsidRPr="00997626" w:rsidSect="00CC2261">
      <w:footerReference w:type="default" r:id="rId8"/>
      <w:pgSz w:w="11906" w:h="16838"/>
      <w:pgMar w:top="1134" w:right="1440" w:bottom="1134" w:left="1440" w:header="851" w:footer="992" w:gutter="0"/>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1C6D" w:rsidRDefault="00671C6D" w:rsidP="00E87C3B">
      <w:r>
        <w:separator/>
      </w:r>
    </w:p>
  </w:endnote>
  <w:endnote w:type="continuationSeparator" w:id="1">
    <w:p w:rsidR="00671C6D" w:rsidRDefault="00671C6D" w:rsidP="00E87C3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바탕">
    <w:altName w:val="Batang"/>
    <w:panose1 w:val="02030600000101010101"/>
    <w:charset w:val="81"/>
    <w:family w:val="roman"/>
    <w:pitch w:val="variable"/>
    <w:sig w:usb0="B00002AF" w:usb1="69D77CFB" w:usb2="00000030" w:usb3="00000000" w:csb0="0008009F" w:csb1="00000000"/>
  </w:font>
  <w:font w:name="맑은 고딕">
    <w:panose1 w:val="020B0503020000020004"/>
    <w:charset w:val="81"/>
    <w:family w:val="modern"/>
    <w:pitch w:val="variable"/>
    <w:sig w:usb0="900002AF" w:usb1="09D77CFB" w:usb2="00000012" w:usb3="00000000" w:csb0="00080001" w:csb1="00000000"/>
  </w:font>
  <w:font w:name="Arial">
    <w:panose1 w:val="020B0604020202020204"/>
    <w:charset w:val="00"/>
    <w:family w:val="swiss"/>
    <w:pitch w:val="variable"/>
    <w:sig w:usb0="E0002AFF" w:usb1="C0007843"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513830"/>
      <w:docPartObj>
        <w:docPartGallery w:val="Page Numbers (Bottom of Page)"/>
        <w:docPartUnique/>
      </w:docPartObj>
    </w:sdtPr>
    <w:sdtContent>
      <w:p w:rsidR="00BA7BBC" w:rsidRDefault="00BA7BBC">
        <w:pPr>
          <w:pStyle w:val="a3"/>
          <w:jc w:val="center"/>
        </w:pPr>
        <w:fldSimple w:instr=" PAGE   \* MERGEFORMAT ">
          <w:r w:rsidR="00D852AC" w:rsidRPr="00D852AC">
            <w:rPr>
              <w:noProof/>
              <w:lang w:val="ko-KR"/>
            </w:rPr>
            <w:t>26</w:t>
          </w:r>
        </w:fldSimple>
      </w:p>
    </w:sdtContent>
  </w:sdt>
  <w:p w:rsidR="00BA7BBC" w:rsidRDefault="00BA7BBC">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1C6D" w:rsidRDefault="00671C6D" w:rsidP="00E87C3B">
      <w:r>
        <w:separator/>
      </w:r>
    </w:p>
  </w:footnote>
  <w:footnote w:type="continuationSeparator" w:id="1">
    <w:p w:rsidR="00671C6D" w:rsidRDefault="00671C6D" w:rsidP="00E87C3B">
      <w:r>
        <w:continuationSeparator/>
      </w:r>
    </w:p>
  </w:footnote>
  <w:footnote w:id="2">
    <w:p w:rsidR="00BA7BBC" w:rsidRPr="00B40D77" w:rsidRDefault="00BA7BBC" w:rsidP="00E87C3B">
      <w:pPr>
        <w:pStyle w:val="a6"/>
        <w:rPr>
          <w:rFonts w:ascii="Times New Roman" w:hAnsi="Times New Roman" w:cs="Times New Roman"/>
          <w:szCs w:val="20"/>
        </w:rPr>
      </w:pPr>
      <w:r w:rsidRPr="00B40D77">
        <w:rPr>
          <w:rStyle w:val="a7"/>
          <w:rFonts w:ascii="Times New Roman" w:hAnsi="Times New Roman"/>
          <w:szCs w:val="20"/>
        </w:rPr>
        <w:footnoteRef/>
      </w:r>
      <w:r w:rsidRPr="00B40D77">
        <w:rPr>
          <w:rFonts w:ascii="Times New Roman" w:hAnsi="Times New Roman" w:cs="Times New Roman"/>
          <w:szCs w:val="20"/>
        </w:rPr>
        <w:t xml:space="preserve"> </w:t>
      </w:r>
      <w:r w:rsidRPr="00B40D77">
        <w:rPr>
          <w:rFonts w:ascii="Times New Roman" w:hAnsi="Times New Roman" w:cs="Times New Roman" w:hint="eastAsia"/>
          <w:szCs w:val="20"/>
        </w:rPr>
        <w:t xml:space="preserve">Coulter (1999) notes that: </w:t>
      </w:r>
      <w:r w:rsidRPr="00B40D77">
        <w:rPr>
          <w:rFonts w:ascii="Times New Roman" w:hAnsi="Times New Roman" w:cs="Times New Roman"/>
          <w:szCs w:val="20"/>
        </w:rPr>
        <w:t>“</w:t>
      </w:r>
      <w:r w:rsidRPr="00B40D77">
        <w:rPr>
          <w:rFonts w:ascii="Times New Roman" w:hAnsi="Times New Roman" w:cs="Times New Roman" w:hint="eastAsia"/>
          <w:szCs w:val="20"/>
        </w:rPr>
        <w:t xml:space="preserve">If </w:t>
      </w:r>
      <w:r w:rsidRPr="00B40D77">
        <w:rPr>
          <w:rFonts w:ascii="Times New Roman" w:hAnsi="Times New Roman" w:cs="Times New Roman"/>
          <w:szCs w:val="20"/>
        </w:rPr>
        <w:t>‘</w:t>
      </w:r>
      <w:r w:rsidRPr="00B40D77">
        <w:rPr>
          <w:rFonts w:ascii="Times New Roman" w:hAnsi="Times New Roman" w:cs="Times New Roman" w:hint="eastAsia"/>
          <w:szCs w:val="20"/>
        </w:rPr>
        <w:t>mind</w:t>
      </w:r>
      <w:r w:rsidRPr="00B40D77">
        <w:rPr>
          <w:rFonts w:ascii="Times New Roman" w:hAnsi="Times New Roman" w:cs="Times New Roman"/>
          <w:szCs w:val="20"/>
        </w:rPr>
        <w:t>’</w:t>
      </w:r>
      <w:r w:rsidRPr="00B40D77">
        <w:rPr>
          <w:rFonts w:ascii="Times New Roman" w:hAnsi="Times New Roman" w:cs="Times New Roman" w:hint="eastAsia"/>
          <w:szCs w:val="20"/>
        </w:rPr>
        <w:t xml:space="preserve"> is not an entity, </w:t>
      </w:r>
      <w:r w:rsidRPr="00B40D77">
        <w:rPr>
          <w:rFonts w:ascii="Times New Roman" w:hAnsi="Times New Roman" w:cs="Times New Roman"/>
          <w:szCs w:val="20"/>
        </w:rPr>
        <w:t>‘</w:t>
      </w:r>
      <w:r w:rsidRPr="00B40D77">
        <w:rPr>
          <w:rFonts w:ascii="Times New Roman" w:hAnsi="Times New Roman" w:cs="Times New Roman" w:hint="eastAsia"/>
          <w:szCs w:val="20"/>
        </w:rPr>
        <w:t>it</w:t>
      </w:r>
      <w:r w:rsidRPr="00B40D77">
        <w:rPr>
          <w:rFonts w:ascii="Times New Roman" w:hAnsi="Times New Roman" w:cs="Times New Roman"/>
          <w:szCs w:val="20"/>
        </w:rPr>
        <w:t>’</w:t>
      </w:r>
      <w:r w:rsidRPr="00B40D77">
        <w:rPr>
          <w:rFonts w:ascii="Times New Roman" w:hAnsi="Times New Roman" w:cs="Times New Roman" w:hint="eastAsia"/>
          <w:szCs w:val="20"/>
        </w:rPr>
        <w:t xml:space="preserve"> cannot interact with anything</w:t>
      </w:r>
      <w:r w:rsidRPr="00B40D77">
        <w:rPr>
          <w:rFonts w:ascii="Times New Roman" w:hAnsi="Times New Roman" w:cs="Times New Roman"/>
          <w:szCs w:val="20"/>
        </w:rPr>
        <w:t>”</w:t>
      </w:r>
      <w:r w:rsidRPr="00B40D77">
        <w:rPr>
          <w:rFonts w:ascii="Times New Roman" w:hAnsi="Times New Roman" w:cs="Times New Roman" w:hint="eastAsia"/>
          <w:szCs w:val="20"/>
        </w:rPr>
        <w:t xml:space="preserve"> (168).  In a parallel way, </w:t>
      </w:r>
      <w:r w:rsidRPr="00B40D77">
        <w:rPr>
          <w:rFonts w:ascii="Times New Roman" w:hAnsi="Times New Roman" w:cs="Times New Roman"/>
          <w:szCs w:val="20"/>
        </w:rPr>
        <w:t>the</w:t>
      </w:r>
      <w:r w:rsidRPr="00B40D77">
        <w:rPr>
          <w:rFonts w:ascii="Times New Roman" w:hAnsi="Times New Roman" w:cs="Times New Roman" w:hint="eastAsia"/>
          <w:szCs w:val="20"/>
        </w:rPr>
        <w:t xml:space="preserve"> sacred is not an entity so that the (causal) relation to the world cannot be posited.  </w:t>
      </w:r>
    </w:p>
  </w:footnote>
  <w:footnote w:id="3">
    <w:p w:rsidR="00BA7BBC" w:rsidRPr="00F91B87" w:rsidRDefault="00BA7BBC" w:rsidP="00F91B87">
      <w:pPr>
        <w:pStyle w:val="a6"/>
        <w:rPr>
          <w:rFonts w:hint="eastAsia"/>
          <w:szCs w:val="20"/>
        </w:rPr>
      </w:pPr>
      <w:r w:rsidRPr="00F91B87">
        <w:rPr>
          <w:rStyle w:val="a7"/>
          <w:rFonts w:ascii="Times New Roman" w:hAnsi="Times New Roman"/>
          <w:szCs w:val="20"/>
        </w:rPr>
        <w:footnoteRef/>
      </w:r>
      <w:r w:rsidRPr="00F91B87">
        <w:rPr>
          <w:rFonts w:ascii="Times New Roman" w:hAnsi="Times New Roman" w:cs="Times New Roman"/>
          <w:szCs w:val="20"/>
        </w:rPr>
        <w:t xml:space="preserve"> </w:t>
      </w:r>
      <w:r>
        <w:rPr>
          <w:rFonts w:ascii="Times New Roman" w:hAnsi="Times New Roman" w:cs="Times New Roman" w:hint="eastAsia"/>
          <w:szCs w:val="20"/>
        </w:rPr>
        <w:t xml:space="preserve">In his early </w:t>
      </w:r>
      <w:r>
        <w:rPr>
          <w:rFonts w:ascii="Times New Roman" w:hAnsi="Times New Roman" w:cs="Times New Roman"/>
          <w:szCs w:val="20"/>
        </w:rPr>
        <w:t>philosophy</w:t>
      </w:r>
      <w:r>
        <w:rPr>
          <w:rFonts w:ascii="Times New Roman" w:hAnsi="Times New Roman" w:cs="Times New Roman" w:hint="eastAsia"/>
          <w:szCs w:val="20"/>
        </w:rPr>
        <w:t xml:space="preserve">, Wittgenstein develops </w:t>
      </w:r>
      <w:r>
        <w:rPr>
          <w:rFonts w:ascii="Times New Roman" w:hAnsi="Times New Roman" w:cs="Times New Roman"/>
          <w:szCs w:val="20"/>
        </w:rPr>
        <w:t>‘</w:t>
      </w:r>
      <w:r>
        <w:rPr>
          <w:rFonts w:ascii="Times New Roman" w:hAnsi="Times New Roman" w:cs="Times New Roman" w:hint="eastAsia"/>
          <w:szCs w:val="20"/>
        </w:rPr>
        <w:t>a picture theory of meaning</w:t>
      </w:r>
      <w:r>
        <w:rPr>
          <w:rFonts w:ascii="Times New Roman" w:hAnsi="Times New Roman" w:cs="Times New Roman"/>
          <w:szCs w:val="20"/>
        </w:rPr>
        <w:t>’</w:t>
      </w:r>
      <w:r>
        <w:rPr>
          <w:rFonts w:ascii="Times New Roman" w:hAnsi="Times New Roman" w:cs="Times New Roman" w:hint="eastAsia"/>
          <w:szCs w:val="20"/>
        </w:rPr>
        <w:t xml:space="preserve"> that holds the formal isomorphism between the structure of language and </w:t>
      </w:r>
      <w:r>
        <w:rPr>
          <w:rFonts w:ascii="Times New Roman" w:hAnsi="Times New Roman" w:cs="Times New Roman"/>
          <w:szCs w:val="20"/>
        </w:rPr>
        <w:t>the</w:t>
      </w:r>
      <w:r>
        <w:rPr>
          <w:rFonts w:ascii="Times New Roman" w:hAnsi="Times New Roman" w:cs="Times New Roman" w:hint="eastAsia"/>
          <w:szCs w:val="20"/>
        </w:rPr>
        <w:t xml:space="preserve"> structure of reality. According to this view, </w:t>
      </w:r>
      <w:r>
        <w:rPr>
          <w:rFonts w:ascii="Times New Roman" w:hAnsi="Times New Roman" w:cs="Times New Roman"/>
          <w:szCs w:val="20"/>
        </w:rPr>
        <w:t>language</w:t>
      </w:r>
      <w:r>
        <w:rPr>
          <w:rFonts w:ascii="Times New Roman" w:hAnsi="Times New Roman" w:cs="Times New Roman" w:hint="eastAsia"/>
          <w:szCs w:val="20"/>
        </w:rPr>
        <w:t xml:space="preserve"> is the representation of reality and is meaningful or has sense only insofar as it serves to picture or mirror possible facts in the world.  However, later,</w:t>
      </w:r>
      <w:r w:rsidRPr="00F91B87">
        <w:rPr>
          <w:rFonts w:ascii="Times New Roman" w:hAnsi="Times New Roman" w:cs="Times New Roman"/>
          <w:szCs w:val="20"/>
        </w:rPr>
        <w:t xml:space="preserve"> the relationship between reality and language is reversed. </w:t>
      </w:r>
      <w:r>
        <w:rPr>
          <w:rFonts w:ascii="Times New Roman" w:hAnsi="Times New Roman" w:cs="Times New Roman" w:hint="eastAsia"/>
          <w:szCs w:val="20"/>
        </w:rPr>
        <w:t xml:space="preserve"> In Wittgenstein</w:t>
      </w:r>
      <w:r>
        <w:rPr>
          <w:rFonts w:ascii="Times New Roman" w:hAnsi="Times New Roman" w:cs="Times New Roman"/>
          <w:szCs w:val="20"/>
        </w:rPr>
        <w:t>’</w:t>
      </w:r>
      <w:r>
        <w:rPr>
          <w:rFonts w:ascii="Times New Roman" w:hAnsi="Times New Roman" w:cs="Times New Roman" w:hint="eastAsia"/>
          <w:szCs w:val="20"/>
        </w:rPr>
        <w:t xml:space="preserve">s later </w:t>
      </w:r>
      <w:r>
        <w:rPr>
          <w:rFonts w:ascii="Times New Roman" w:hAnsi="Times New Roman" w:cs="Times New Roman"/>
          <w:szCs w:val="20"/>
        </w:rPr>
        <w:t>philosophy</w:t>
      </w:r>
      <w:r>
        <w:rPr>
          <w:rFonts w:ascii="Times New Roman" w:hAnsi="Times New Roman" w:cs="Times New Roman" w:hint="eastAsia"/>
          <w:szCs w:val="20"/>
        </w:rPr>
        <w:t>,</w:t>
      </w:r>
      <w:r>
        <w:rPr>
          <w:rFonts w:ascii="Times New Roman" w:hAnsi="Times New Roman" w:cs="Times New Roman"/>
          <w:szCs w:val="20"/>
        </w:rPr>
        <w:t xml:space="preserve"> “</w:t>
      </w:r>
      <w:r>
        <w:rPr>
          <w:rFonts w:ascii="Times New Roman" w:hAnsi="Times New Roman" w:cs="Times New Roman" w:hint="eastAsia"/>
          <w:szCs w:val="20"/>
        </w:rPr>
        <w:t>r</w:t>
      </w:r>
      <w:r w:rsidRPr="00F91B87">
        <w:rPr>
          <w:rFonts w:ascii="Times New Roman" w:hAnsi="Times New Roman" w:cs="Times New Roman"/>
          <w:szCs w:val="20"/>
        </w:rPr>
        <w:t xml:space="preserve">eality is not what gives language sense.  What is real and what is unreal shows itself </w:t>
      </w:r>
      <w:r w:rsidRPr="00F91B87">
        <w:rPr>
          <w:rFonts w:ascii="Times New Roman" w:hAnsi="Times New Roman" w:cs="Times New Roman"/>
          <w:i/>
          <w:szCs w:val="20"/>
        </w:rPr>
        <w:t>in</w:t>
      </w:r>
      <w:r w:rsidRPr="00F91B87">
        <w:rPr>
          <w:rFonts w:ascii="Times New Roman" w:hAnsi="Times New Roman" w:cs="Times New Roman"/>
          <w:szCs w:val="20"/>
        </w:rPr>
        <w:t xml:space="preserve"> the sense that language has” (Winch 1970, 82).  Now reality becomes the function of language, not something existing beyond it.</w:t>
      </w:r>
      <w:r>
        <w:rPr>
          <w:rFonts w:ascii="Times New Roman" w:hAnsi="Times New Roman" w:cs="Times New Roman"/>
          <w:szCs w:val="20"/>
        </w:rPr>
        <w:t xml:space="preserve"> </w:t>
      </w:r>
      <w:r>
        <w:rPr>
          <w:rFonts w:ascii="Times New Roman" w:hAnsi="Times New Roman" w:cs="Times New Roman" w:hint="eastAsia"/>
          <w:szCs w:val="20"/>
        </w:rPr>
        <w:t xml:space="preserve"> To say more accurately, language is constitutive of reality.  Hence, t</w:t>
      </w:r>
      <w:r w:rsidRPr="00F91B87">
        <w:rPr>
          <w:rFonts w:ascii="Times New Roman" w:hAnsi="Times New Roman" w:cs="Times New Roman"/>
          <w:szCs w:val="20"/>
        </w:rPr>
        <w:t xml:space="preserve">he essence of a thing, whatever it is, is determined by the grammar that we employ in our practices, not by some object lying in a mysterious realm.  As Rhees (1997) argues, “the question of what it means to talk about ‘the reality’ of anything has been related to the idea of this world as what makes it possible for language to have sense, or meaning.  But what we mean by reality is determined by the character of language, and the notion of a </w:t>
      </w:r>
      <w:r w:rsidRPr="00F91B87">
        <w:rPr>
          <w:rFonts w:ascii="Times New Roman" w:hAnsi="Times New Roman" w:cs="Times New Roman"/>
          <w:i/>
          <w:szCs w:val="20"/>
        </w:rPr>
        <w:t>single</w:t>
      </w:r>
      <w:r w:rsidRPr="00F91B87">
        <w:rPr>
          <w:rFonts w:ascii="Times New Roman" w:hAnsi="Times New Roman" w:cs="Times New Roman"/>
          <w:szCs w:val="20"/>
        </w:rPr>
        <w:t xml:space="preserve"> reality would seem to be replaced by the conception of ways of living” (24).  “Essence is expressed by grammar (</w:t>
      </w:r>
      <w:r w:rsidRPr="00F91B87">
        <w:rPr>
          <w:rFonts w:ascii="Times New Roman" w:hAnsi="Times New Roman" w:cs="Times New Roman"/>
          <w:i/>
          <w:szCs w:val="20"/>
        </w:rPr>
        <w:t>PI</w:t>
      </w:r>
      <w:r w:rsidRPr="00F91B87">
        <w:rPr>
          <w:rFonts w:ascii="Times New Roman" w:hAnsi="Times New Roman" w:cs="Times New Roman"/>
          <w:szCs w:val="20"/>
        </w:rPr>
        <w:t xml:space="preserve"> §371).  This does not mean that reality is reduced to language, but language is our uniquely human way of being ‘real’ (Klein 2006, 369).</w:t>
      </w:r>
    </w:p>
  </w:footnote>
  <w:footnote w:id="4">
    <w:p w:rsidR="00BA7BBC" w:rsidRPr="00447D3B" w:rsidRDefault="00BA7BBC" w:rsidP="00E87C3B">
      <w:pPr>
        <w:pStyle w:val="a6"/>
        <w:rPr>
          <w:rFonts w:ascii="Times New Roman" w:hAnsi="Times New Roman" w:cs="Times New Roman"/>
          <w:szCs w:val="20"/>
        </w:rPr>
      </w:pPr>
      <w:r w:rsidRPr="00F94A13">
        <w:rPr>
          <w:rStyle w:val="a7"/>
          <w:rFonts w:ascii="Times New Roman" w:hAnsi="Times New Roman"/>
          <w:sz w:val="22"/>
        </w:rPr>
        <w:footnoteRef/>
      </w:r>
      <w:r w:rsidRPr="00F94A13">
        <w:rPr>
          <w:rFonts w:ascii="Times New Roman" w:hAnsi="Times New Roman" w:cs="Times New Roman"/>
          <w:sz w:val="22"/>
        </w:rPr>
        <w:t xml:space="preserve"> </w:t>
      </w:r>
      <w:r w:rsidRPr="00C61B9B">
        <w:rPr>
          <w:rFonts w:ascii="Times New Roman" w:hAnsi="Times New Roman" w:cs="Times New Roman"/>
          <w:szCs w:val="20"/>
        </w:rPr>
        <w:t xml:space="preserve">The well-known fallacy of </w:t>
      </w:r>
      <w:r w:rsidRPr="00C61B9B">
        <w:rPr>
          <w:rFonts w:ascii="Times New Roman" w:hAnsi="Times New Roman" w:cs="Times New Roman" w:hint="eastAsia"/>
          <w:szCs w:val="20"/>
        </w:rPr>
        <w:t xml:space="preserve">the </w:t>
      </w:r>
      <w:r w:rsidRPr="00C61B9B">
        <w:rPr>
          <w:rFonts w:ascii="Times New Roman" w:hAnsi="Times New Roman" w:cs="Times New Roman"/>
          <w:szCs w:val="20"/>
        </w:rPr>
        <w:t>functionalist approach lies in the explanation of the existence of</w:t>
      </w:r>
      <w:r w:rsidRPr="00F94A13">
        <w:rPr>
          <w:rFonts w:ascii="Times New Roman" w:hAnsi="Times New Roman" w:cs="Times New Roman"/>
          <w:sz w:val="22"/>
        </w:rPr>
        <w:t xml:space="preserve"> </w:t>
      </w:r>
      <w:r w:rsidRPr="00447D3B">
        <w:rPr>
          <w:rFonts w:ascii="Times New Roman" w:hAnsi="Times New Roman" w:cs="Times New Roman"/>
          <w:szCs w:val="20"/>
        </w:rPr>
        <w:t>something by</w:t>
      </w:r>
      <w:r w:rsidRPr="00F94A13">
        <w:rPr>
          <w:rFonts w:ascii="Times New Roman" w:hAnsi="Times New Roman" w:cs="Times New Roman"/>
          <w:sz w:val="22"/>
        </w:rPr>
        <w:t xml:space="preserve"> </w:t>
      </w:r>
      <w:r w:rsidRPr="00447D3B">
        <w:rPr>
          <w:rFonts w:ascii="Times New Roman" w:hAnsi="Times New Roman" w:cs="Times New Roman"/>
          <w:szCs w:val="20"/>
        </w:rPr>
        <w:t>reference to the functionality itself.  It is already assumed that something exist</w:t>
      </w:r>
      <w:r w:rsidRPr="00447D3B">
        <w:rPr>
          <w:rFonts w:ascii="Times New Roman" w:hAnsi="Times New Roman" w:cs="Times New Roman" w:hint="eastAsia"/>
          <w:szCs w:val="20"/>
        </w:rPr>
        <w:t>s</w:t>
      </w:r>
      <w:r w:rsidRPr="00447D3B">
        <w:rPr>
          <w:rFonts w:ascii="Times New Roman" w:hAnsi="Times New Roman" w:cs="Times New Roman"/>
          <w:szCs w:val="20"/>
        </w:rPr>
        <w:t xml:space="preserve"> because it serves a particular function.  Durkheim wants his explanation to be causal.  But his explanation is teleological rather than causal for something to be explained is preconceived by its functionality. </w:t>
      </w:r>
    </w:p>
  </w:footnote>
  <w:footnote w:id="5">
    <w:p w:rsidR="00BA7BBC" w:rsidRPr="00447D3B" w:rsidRDefault="00BA7BBC" w:rsidP="00E87C3B">
      <w:pPr>
        <w:pStyle w:val="a6"/>
        <w:rPr>
          <w:rFonts w:ascii="Times New Roman" w:hAnsi="Times New Roman" w:cs="Times New Roman"/>
          <w:szCs w:val="20"/>
        </w:rPr>
      </w:pPr>
      <w:r w:rsidRPr="00447D3B">
        <w:rPr>
          <w:rStyle w:val="a7"/>
          <w:rFonts w:ascii="Times New Roman" w:hAnsi="Times New Roman"/>
          <w:szCs w:val="20"/>
        </w:rPr>
        <w:footnoteRef/>
      </w:r>
      <w:r w:rsidRPr="00447D3B">
        <w:rPr>
          <w:rFonts w:ascii="Times New Roman" w:hAnsi="Times New Roman" w:cs="Times New Roman"/>
          <w:szCs w:val="20"/>
        </w:rPr>
        <w:t xml:space="preserve"> There have been many criticisms of Durkheim questioning the universality of the sacred and profane dichotomy.  Hervieu-Léger notes that “anthropological studies have demonstrated sufficiently that the primary contrast between the sacred and the profane, which provides the pivot for the Durkheimian sociology of religion, is not constant and is far from corresponding to the mode of structure for all religions” (Hervieu-Léger 2000, 49). </w:t>
      </w:r>
    </w:p>
  </w:footnote>
  <w:footnote w:id="6">
    <w:p w:rsidR="00BA7BBC" w:rsidRPr="00F94A13" w:rsidRDefault="00BA7BBC" w:rsidP="00E87C3B">
      <w:pPr>
        <w:pStyle w:val="a6"/>
        <w:rPr>
          <w:rFonts w:ascii="Times New Roman" w:hAnsi="Times New Roman" w:cs="Times New Roman"/>
          <w:sz w:val="22"/>
        </w:rPr>
      </w:pPr>
      <w:r w:rsidRPr="00F94A13">
        <w:rPr>
          <w:rStyle w:val="a7"/>
          <w:rFonts w:ascii="Times New Roman" w:hAnsi="Times New Roman"/>
          <w:sz w:val="22"/>
        </w:rPr>
        <w:footnoteRef/>
      </w:r>
      <w:r w:rsidRPr="00F94A13">
        <w:rPr>
          <w:rFonts w:ascii="Times New Roman" w:hAnsi="Times New Roman" w:cs="Times New Roman"/>
          <w:sz w:val="22"/>
        </w:rPr>
        <w:t xml:space="preserve"> </w:t>
      </w:r>
      <w:r w:rsidRPr="00091061">
        <w:rPr>
          <w:rFonts w:ascii="Times New Roman" w:hAnsi="Times New Roman" w:cs="Times New Roman"/>
          <w:szCs w:val="20"/>
        </w:rPr>
        <w:t>Phenomenological reduction, which is also called ‘phenomenological bracketing,’ suspens</w:t>
      </w:r>
      <w:r w:rsidRPr="00091061">
        <w:rPr>
          <w:rFonts w:ascii="Times New Roman" w:hAnsi="Times New Roman" w:cs="Times New Roman" w:hint="eastAsia"/>
          <w:szCs w:val="20"/>
        </w:rPr>
        <w:t>ion</w:t>
      </w:r>
      <w:r w:rsidRPr="00091061">
        <w:rPr>
          <w:rFonts w:ascii="Times New Roman" w:hAnsi="Times New Roman" w:cs="Times New Roman"/>
          <w:szCs w:val="20"/>
        </w:rPr>
        <w:t xml:space="preserve"> or </w:t>
      </w:r>
      <w:r w:rsidRPr="00091061">
        <w:rPr>
          <w:rFonts w:ascii="Times New Roman" w:hAnsi="Times New Roman" w:cs="Times New Roman"/>
          <w:i/>
          <w:szCs w:val="20"/>
        </w:rPr>
        <w:t>epoché</w:t>
      </w:r>
      <w:r w:rsidRPr="00091061">
        <w:rPr>
          <w:rFonts w:ascii="Times New Roman" w:hAnsi="Times New Roman" w:cs="Times New Roman"/>
          <w:szCs w:val="20"/>
        </w:rPr>
        <w:t>, refers to a philosophical method to turn away from the world of objects or bracket them and to direct one’s gaze at one’s inner stream of consciousness or one’s conscious experience (Schutz 1967, 36-37). This term is “a technical expression employed in current Phenomenology by Husserl and other philosophers.  It implies that no judgment is expressed concerning the objective world, which is thus placed ‘between brackets’, as it were.  All phenomena, therefore, are considered solely as they are presented to the mind, without any further aspects such as their real existence, or their value, being taken into account; in this way the observer restricts himself to pure description systematically pursued, himself adopting the attitude of complete intellectual suspense, or of abstention from all judgment, regarding these controversial topics” (van der Leeuw 1986, 646).</w:t>
      </w:r>
      <w:r w:rsidRPr="00F94A13">
        <w:rPr>
          <w:rFonts w:ascii="Times New Roman" w:hAnsi="Times New Roman" w:cs="Times New Roman"/>
          <w:sz w:val="22"/>
        </w:rPr>
        <w:t xml:space="preserve"> </w:t>
      </w:r>
    </w:p>
  </w:footnote>
  <w:footnote w:id="7">
    <w:p w:rsidR="00BA7BBC" w:rsidRPr="00091061" w:rsidRDefault="00BA7BBC" w:rsidP="00E87C3B">
      <w:pPr>
        <w:pStyle w:val="a6"/>
        <w:rPr>
          <w:rFonts w:ascii="Times New Roman" w:hAnsi="Times New Roman" w:cs="Times New Roman"/>
          <w:szCs w:val="20"/>
        </w:rPr>
      </w:pPr>
      <w:r w:rsidRPr="00F94A13">
        <w:rPr>
          <w:rStyle w:val="a7"/>
          <w:rFonts w:ascii="Times New Roman" w:hAnsi="Times New Roman"/>
          <w:sz w:val="22"/>
        </w:rPr>
        <w:footnoteRef/>
      </w:r>
      <w:r w:rsidRPr="00F94A13">
        <w:rPr>
          <w:rFonts w:ascii="Times New Roman" w:hAnsi="Times New Roman" w:cs="Times New Roman"/>
          <w:sz w:val="22"/>
        </w:rPr>
        <w:t xml:space="preserve"> </w:t>
      </w:r>
      <w:r w:rsidRPr="00091061">
        <w:rPr>
          <w:rFonts w:ascii="Times New Roman" w:hAnsi="Times New Roman" w:cs="Times New Roman"/>
          <w:szCs w:val="20"/>
        </w:rPr>
        <w:t xml:space="preserve">What Otto discovers in religious man’s mind is the creature-feeling of dependency, the feeling of terror before the sacred, i.e., awe-inspiring mystery, and the majesty that emanates an overwhelming power.  He also describes the holy as </w:t>
      </w:r>
      <w:r w:rsidRPr="00091061">
        <w:rPr>
          <w:rFonts w:ascii="Times New Roman" w:hAnsi="Times New Roman" w:cs="Times New Roman"/>
          <w:i/>
          <w:szCs w:val="20"/>
        </w:rPr>
        <w:t>fascinans</w:t>
      </w:r>
      <w:r w:rsidRPr="00091061">
        <w:rPr>
          <w:rFonts w:ascii="Times New Roman" w:hAnsi="Times New Roman" w:cs="Times New Roman"/>
          <w:szCs w:val="20"/>
        </w:rPr>
        <w:t xml:space="preserve">, something uniquely attractive and </w:t>
      </w:r>
      <w:r w:rsidRPr="00091061">
        <w:rPr>
          <w:rFonts w:ascii="Times New Roman" w:hAnsi="Times New Roman" w:cs="Times New Roman"/>
          <w:i/>
          <w:szCs w:val="20"/>
        </w:rPr>
        <w:t>fascinating</w:t>
      </w:r>
      <w:r w:rsidRPr="00091061">
        <w:rPr>
          <w:rFonts w:ascii="Times New Roman" w:hAnsi="Times New Roman" w:cs="Times New Roman"/>
          <w:szCs w:val="20"/>
        </w:rPr>
        <w:t>.</w:t>
      </w:r>
    </w:p>
  </w:footnote>
  <w:footnote w:id="8">
    <w:p w:rsidR="00BA7BBC" w:rsidRPr="00831A94" w:rsidRDefault="00BA7BBC" w:rsidP="00E87C3B">
      <w:pPr>
        <w:pStyle w:val="a6"/>
        <w:rPr>
          <w:rFonts w:ascii="Times New Roman" w:hAnsi="Times New Roman" w:cs="Times New Roman"/>
          <w:szCs w:val="20"/>
        </w:rPr>
      </w:pPr>
      <w:r w:rsidRPr="00F94A13">
        <w:rPr>
          <w:rStyle w:val="a7"/>
          <w:rFonts w:ascii="Times New Roman" w:hAnsi="Times New Roman"/>
          <w:sz w:val="22"/>
        </w:rPr>
        <w:footnoteRef/>
      </w:r>
      <w:r w:rsidRPr="00F94A13">
        <w:rPr>
          <w:rFonts w:ascii="Times New Roman" w:hAnsi="Times New Roman" w:cs="Times New Roman"/>
          <w:sz w:val="22"/>
        </w:rPr>
        <w:t xml:space="preserve"> </w:t>
      </w:r>
      <w:r w:rsidRPr="00831A94">
        <w:rPr>
          <w:rFonts w:ascii="Times New Roman" w:hAnsi="Times New Roman" w:cs="Times New Roman"/>
          <w:szCs w:val="20"/>
        </w:rPr>
        <w:t xml:space="preserve">Here Berger uses the terms ‘reality’ and ‘world’ in </w:t>
      </w:r>
      <w:r w:rsidRPr="00831A94">
        <w:rPr>
          <w:rFonts w:ascii="Times New Roman" w:hAnsi="Times New Roman" w:cs="Times New Roman" w:hint="eastAsia"/>
          <w:szCs w:val="20"/>
        </w:rPr>
        <w:t xml:space="preserve">a </w:t>
      </w:r>
      <w:r w:rsidRPr="00831A94">
        <w:rPr>
          <w:rFonts w:ascii="Times New Roman" w:hAnsi="Times New Roman" w:cs="Times New Roman"/>
          <w:szCs w:val="20"/>
        </w:rPr>
        <w:t xml:space="preserve">phenomenological sense, bracketing their ultimate ontological status.  The term ‘reality’ also should be understood phenomenologically.  By defining ‘reality’ as “a quality appertaining to phenomena that we recognize as having a being independent of our own volition,” he follows faithfully phenomenological line that eschews any kind of ontological reductionism. </w:t>
      </w:r>
    </w:p>
  </w:footnote>
  <w:footnote w:id="9">
    <w:p w:rsidR="00BA7BBC" w:rsidRPr="00F94A13" w:rsidRDefault="00BA7BBC" w:rsidP="00E87C3B">
      <w:pPr>
        <w:pStyle w:val="a6"/>
        <w:rPr>
          <w:rFonts w:ascii="Times New Roman" w:hAnsi="Times New Roman" w:cs="Times New Roman"/>
          <w:sz w:val="22"/>
        </w:rPr>
      </w:pPr>
      <w:r w:rsidRPr="00831A94">
        <w:rPr>
          <w:rStyle w:val="a7"/>
          <w:rFonts w:ascii="Times New Roman" w:hAnsi="Times New Roman"/>
          <w:szCs w:val="20"/>
        </w:rPr>
        <w:footnoteRef/>
      </w:r>
      <w:r w:rsidRPr="00831A94">
        <w:rPr>
          <w:rFonts w:ascii="Times New Roman" w:hAnsi="Times New Roman" w:cs="Times New Roman"/>
          <w:szCs w:val="20"/>
        </w:rPr>
        <w:t xml:space="preserve"> ‘Intentionality’ is the mind’s capacity to direct itself on things.  This terminology that derived from the scholastic philosophy of the Middle Ages and was revived by Franz Brentano constitutes one of the basic premises in phenomenological enterprise.  Berger introduces this concept as a method for phenomenological analysis to uncover the common intentional character of all consciousness.</w:t>
      </w:r>
      <w:r w:rsidRPr="00F94A13">
        <w:rPr>
          <w:rFonts w:ascii="Times New Roman" w:hAnsi="Times New Roman" w:cs="Times New Roman"/>
          <w:sz w:val="22"/>
        </w:rPr>
        <w:t xml:space="preserve">  </w:t>
      </w:r>
    </w:p>
  </w:footnote>
  <w:footnote w:id="10">
    <w:p w:rsidR="00BA7BBC" w:rsidRPr="00AD1584" w:rsidRDefault="00BA7BBC" w:rsidP="00E87C3B">
      <w:pPr>
        <w:pStyle w:val="a6"/>
        <w:rPr>
          <w:rFonts w:ascii="Times New Roman" w:hAnsi="Times New Roman" w:cs="Times New Roman"/>
          <w:szCs w:val="20"/>
        </w:rPr>
      </w:pPr>
      <w:r w:rsidRPr="00F94A13">
        <w:rPr>
          <w:rStyle w:val="a7"/>
          <w:rFonts w:ascii="Times New Roman" w:hAnsi="Times New Roman"/>
          <w:sz w:val="22"/>
        </w:rPr>
        <w:footnoteRef/>
      </w:r>
      <w:r w:rsidRPr="00F94A13">
        <w:rPr>
          <w:rFonts w:ascii="Times New Roman" w:hAnsi="Times New Roman" w:cs="Times New Roman"/>
          <w:sz w:val="22"/>
        </w:rPr>
        <w:t xml:space="preserve"> </w:t>
      </w:r>
      <w:r w:rsidRPr="00AD1584">
        <w:rPr>
          <w:rFonts w:ascii="Times New Roman" w:hAnsi="Times New Roman" w:cs="Times New Roman"/>
          <w:szCs w:val="20"/>
        </w:rPr>
        <w:t xml:space="preserve">Bryan Turner (1997) also says that “We speak about having bodies or about how people carry their bodies, or about being bodies, but following the phenomenological tradition it would be equally sensible to speak about the ways in which we </w:t>
      </w:r>
      <w:r w:rsidRPr="00AD1584">
        <w:rPr>
          <w:rFonts w:ascii="Times New Roman" w:hAnsi="Times New Roman" w:cs="Times New Roman"/>
          <w:i/>
          <w:szCs w:val="20"/>
        </w:rPr>
        <w:t>do</w:t>
      </w:r>
      <w:r w:rsidRPr="00AD1584">
        <w:rPr>
          <w:rFonts w:ascii="Times New Roman" w:hAnsi="Times New Roman" w:cs="Times New Roman"/>
          <w:szCs w:val="20"/>
        </w:rPr>
        <w:t xml:space="preserve"> our bodies, since we are embodied” (18-19)</w:t>
      </w:r>
      <w:r>
        <w:rPr>
          <w:rFonts w:ascii="Times New Roman" w:hAnsi="Times New Roman" w:cs="Times New Roman" w:hint="eastAsia"/>
          <w:szCs w:val="20"/>
        </w:rPr>
        <w:t>.</w:t>
      </w:r>
    </w:p>
  </w:footnote>
  <w:footnote w:id="11">
    <w:p w:rsidR="00BA7BBC" w:rsidRPr="002C78A9" w:rsidRDefault="00BA7BBC" w:rsidP="00E87C3B">
      <w:pPr>
        <w:pStyle w:val="a6"/>
        <w:rPr>
          <w:rFonts w:ascii="Times New Roman" w:hAnsi="Times New Roman" w:cs="Times New Roman"/>
          <w:szCs w:val="20"/>
        </w:rPr>
      </w:pPr>
      <w:r w:rsidRPr="002C78A9">
        <w:rPr>
          <w:rStyle w:val="a7"/>
          <w:rFonts w:ascii="Times New Roman" w:hAnsi="Times New Roman"/>
          <w:szCs w:val="20"/>
        </w:rPr>
        <w:footnoteRef/>
      </w:r>
      <w:r w:rsidRPr="002C78A9">
        <w:rPr>
          <w:rFonts w:ascii="Times New Roman" w:hAnsi="Times New Roman" w:cs="Times New Roman"/>
          <w:szCs w:val="20"/>
        </w:rPr>
        <w:t xml:space="preserve"> Edward Berryman’s ethnomethodological study of religious apparitions is of exceptional value in the sociology of religion.  In his doctoral dissertation, </w:t>
      </w:r>
      <w:r w:rsidRPr="002C78A9">
        <w:rPr>
          <w:rFonts w:ascii="Times New Roman" w:hAnsi="Times New Roman" w:cs="Times New Roman"/>
          <w:i/>
          <w:szCs w:val="20"/>
        </w:rPr>
        <w:t xml:space="preserve">The Social Construction of the Divine - A Study of Religious Apparition Stories </w:t>
      </w:r>
      <w:r w:rsidRPr="002C78A9">
        <w:rPr>
          <w:rFonts w:ascii="Times New Roman" w:hAnsi="Times New Roman" w:cs="Times New Roman"/>
          <w:szCs w:val="20"/>
        </w:rPr>
        <w:t xml:space="preserve">(1994), he logically analyzes the sequence of claim of divine contact and judgment of others and shows how the divine is socially constituted in the people’s practices involved in the mystical claims.  In doing this, he rejects to make any ontological claim about the mystical phenomena, but rather takes the mystical claims themselves as sociologically analyzable ones.  </w:t>
      </w:r>
    </w:p>
  </w:footnote>
  <w:footnote w:id="12">
    <w:p w:rsidR="00BA7BBC" w:rsidRPr="002C78A9" w:rsidRDefault="00BA7BBC" w:rsidP="00E87C3B">
      <w:pPr>
        <w:pStyle w:val="a6"/>
        <w:rPr>
          <w:rFonts w:ascii="Times New Roman" w:hAnsi="Times New Roman" w:cs="Times New Roman"/>
          <w:szCs w:val="20"/>
        </w:rPr>
      </w:pPr>
      <w:r w:rsidRPr="002C78A9">
        <w:rPr>
          <w:rStyle w:val="a7"/>
          <w:rFonts w:ascii="Times New Roman" w:hAnsi="Times New Roman"/>
          <w:szCs w:val="20"/>
        </w:rPr>
        <w:footnoteRef/>
      </w:r>
      <w:r w:rsidRPr="002C78A9">
        <w:rPr>
          <w:rFonts w:ascii="Times New Roman" w:hAnsi="Times New Roman" w:cs="Times New Roman"/>
          <w:szCs w:val="20"/>
        </w:rPr>
        <w:t xml:space="preserve"> </w:t>
      </w:r>
      <w:r w:rsidRPr="002C78A9">
        <w:rPr>
          <w:rFonts w:ascii="Times New Roman" w:hAnsi="Times New Roman" w:cs="Times New Roman" w:hint="eastAsia"/>
          <w:szCs w:val="20"/>
        </w:rPr>
        <w:t xml:space="preserve">From the perspective of embodiment, Csordas (1990) argues, glossolalia is </w:t>
      </w:r>
      <w:r w:rsidRPr="002C78A9">
        <w:rPr>
          <w:rFonts w:ascii="Times New Roman" w:hAnsi="Times New Roman" w:cs="Times New Roman"/>
          <w:szCs w:val="20"/>
        </w:rPr>
        <w:t>‘</w:t>
      </w:r>
      <w:r w:rsidRPr="002C78A9">
        <w:rPr>
          <w:rFonts w:ascii="Times New Roman" w:hAnsi="Times New Roman" w:cs="Times New Roman" w:hint="eastAsia"/>
          <w:szCs w:val="20"/>
        </w:rPr>
        <w:t>the embodiment of nonverbal thought.</w:t>
      </w:r>
      <w:r w:rsidRPr="002C78A9">
        <w:rPr>
          <w:rFonts w:ascii="Times New Roman" w:hAnsi="Times New Roman" w:cs="Times New Roman"/>
          <w:szCs w:val="20"/>
        </w:rPr>
        <w:t>’</w:t>
      </w:r>
      <w:r w:rsidRPr="002C78A9">
        <w:rPr>
          <w:rFonts w:ascii="Times New Roman" w:hAnsi="Times New Roman" w:cs="Times New Roman" w:hint="eastAsia"/>
          <w:szCs w:val="20"/>
        </w:rPr>
        <w:t xml:space="preserve">  For its spontaneous engagement and cultural creativity (the possibility of creative cultural change), </w:t>
      </w:r>
      <w:r w:rsidRPr="002C78A9">
        <w:rPr>
          <w:rFonts w:ascii="Times New Roman" w:hAnsi="Times New Roman" w:cs="Times New Roman"/>
          <w:szCs w:val="20"/>
        </w:rPr>
        <w:t>“</w:t>
      </w:r>
      <w:r w:rsidRPr="002C78A9">
        <w:rPr>
          <w:rFonts w:ascii="Times New Roman" w:hAnsi="Times New Roman" w:cs="Times New Roman" w:hint="eastAsia"/>
          <w:szCs w:val="20"/>
        </w:rPr>
        <w:t>absence of the semantic component in glossolalia</w:t>
      </w:r>
      <w:r w:rsidRPr="002C78A9">
        <w:rPr>
          <w:rFonts w:ascii="Times New Roman" w:hAnsi="Times New Roman" w:cs="Times New Roman"/>
          <w:szCs w:val="20"/>
        </w:rPr>
        <w:t>…</w:t>
      </w:r>
      <w:r w:rsidRPr="002C78A9">
        <w:rPr>
          <w:rFonts w:ascii="Times New Roman" w:hAnsi="Times New Roman" w:cs="Times New Roman" w:hint="eastAsia"/>
          <w:szCs w:val="20"/>
        </w:rPr>
        <w:t xml:space="preserve">reveals the gestural meaning of language, such that the sacred becomes concrete in embodied </w:t>
      </w:r>
      <w:r w:rsidRPr="002C78A9">
        <w:rPr>
          <w:rFonts w:ascii="Times New Roman" w:hAnsi="Times New Roman" w:cs="Times New Roman"/>
          <w:szCs w:val="20"/>
        </w:rPr>
        <w:t>experience”</w:t>
      </w:r>
      <w:r w:rsidRPr="002C78A9">
        <w:rPr>
          <w:rFonts w:ascii="Times New Roman" w:hAnsi="Times New Roman" w:cs="Times New Roman" w:hint="eastAsia"/>
          <w:szCs w:val="20"/>
        </w:rPr>
        <w:t xml:space="preserve"> (26).   </w:t>
      </w:r>
    </w:p>
  </w:footnote>
  <w:footnote w:id="13">
    <w:p w:rsidR="00BA7BBC" w:rsidRPr="002C78A9" w:rsidRDefault="00BA7BBC" w:rsidP="00E87C3B">
      <w:pPr>
        <w:pStyle w:val="a6"/>
        <w:rPr>
          <w:rFonts w:ascii="Times New Roman" w:hAnsi="Times New Roman" w:cs="Times New Roman"/>
          <w:szCs w:val="20"/>
        </w:rPr>
      </w:pPr>
      <w:r w:rsidRPr="002C78A9">
        <w:rPr>
          <w:rStyle w:val="a7"/>
          <w:rFonts w:ascii="Times New Roman" w:hAnsi="Times New Roman"/>
          <w:szCs w:val="20"/>
        </w:rPr>
        <w:footnoteRef/>
      </w:r>
      <w:r w:rsidRPr="002C78A9">
        <w:rPr>
          <w:rFonts w:ascii="Times New Roman" w:hAnsi="Times New Roman" w:cs="Times New Roman"/>
          <w:szCs w:val="20"/>
        </w:rPr>
        <w:t xml:space="preserve"> </w:t>
      </w:r>
      <w:r w:rsidRPr="002C78A9">
        <w:rPr>
          <w:rFonts w:ascii="Times New Roman" w:hAnsi="Times New Roman" w:cs="Times New Roman" w:hint="eastAsia"/>
          <w:szCs w:val="20"/>
        </w:rPr>
        <w:t xml:space="preserve">In his study of </w:t>
      </w:r>
      <w:r w:rsidRPr="002C78A9">
        <w:rPr>
          <w:rFonts w:ascii="Times New Roman" w:hAnsi="Times New Roman" w:cs="Times New Roman"/>
          <w:szCs w:val="20"/>
        </w:rPr>
        <w:t>religious</w:t>
      </w:r>
      <w:r w:rsidRPr="002C78A9">
        <w:rPr>
          <w:rFonts w:ascii="Times New Roman" w:hAnsi="Times New Roman" w:cs="Times New Roman" w:hint="eastAsia"/>
          <w:szCs w:val="20"/>
        </w:rPr>
        <w:t xml:space="preserve"> experience and ritual in an African American church, Nelson (2005) shows how the church members themselves judge the authenticity of a given performance, for example, </w:t>
      </w:r>
      <w:r w:rsidRPr="002C78A9">
        <w:rPr>
          <w:rFonts w:ascii="Times New Roman" w:hAnsi="Times New Roman" w:cs="Times New Roman"/>
          <w:szCs w:val="20"/>
        </w:rPr>
        <w:t>‘</w:t>
      </w:r>
      <w:r w:rsidRPr="002C78A9">
        <w:rPr>
          <w:rFonts w:ascii="Times New Roman" w:hAnsi="Times New Roman" w:cs="Times New Roman" w:hint="eastAsia"/>
          <w:szCs w:val="20"/>
        </w:rPr>
        <w:t>shouting.</w:t>
      </w:r>
      <w:r w:rsidRPr="002C78A9">
        <w:rPr>
          <w:rFonts w:ascii="Times New Roman" w:hAnsi="Times New Roman" w:cs="Times New Roman"/>
          <w:szCs w:val="20"/>
        </w:rPr>
        <w:t>’</w:t>
      </w:r>
      <w:r w:rsidRPr="002C78A9">
        <w:rPr>
          <w:rFonts w:ascii="Times New Roman" w:hAnsi="Times New Roman" w:cs="Times New Roman" w:hint="eastAsia"/>
          <w:szCs w:val="20"/>
        </w:rPr>
        <w:t xml:space="preserve">  He notes that: </w:t>
      </w:r>
      <w:r w:rsidRPr="002C78A9">
        <w:rPr>
          <w:rFonts w:ascii="Times New Roman" w:hAnsi="Times New Roman" w:cs="Times New Roman"/>
          <w:szCs w:val="20"/>
        </w:rPr>
        <w:t>“</w:t>
      </w:r>
      <w:r w:rsidRPr="002C78A9">
        <w:rPr>
          <w:rFonts w:ascii="Times New Roman" w:hAnsi="Times New Roman" w:cs="Times New Roman" w:hint="eastAsia"/>
          <w:szCs w:val="20"/>
        </w:rPr>
        <w:t xml:space="preserve">Shouting is a topic of intense interest to Eastsiders, and because it is a contested form of behavior in the African American </w:t>
      </w:r>
      <w:r w:rsidRPr="002C78A9">
        <w:rPr>
          <w:rFonts w:ascii="Times New Roman" w:hAnsi="Times New Roman" w:cs="Times New Roman"/>
          <w:szCs w:val="20"/>
        </w:rPr>
        <w:t>church</w:t>
      </w:r>
      <w:r w:rsidRPr="002C78A9">
        <w:rPr>
          <w:rFonts w:ascii="Times New Roman" w:hAnsi="Times New Roman" w:cs="Times New Roman" w:hint="eastAsia"/>
          <w:szCs w:val="20"/>
        </w:rPr>
        <w:t xml:space="preserve"> at large, there is a well-developed discourse that Eastsiders apply to particular instances of shouting and to individual members who frequently practice it</w:t>
      </w:r>
      <w:r w:rsidRPr="002C78A9">
        <w:rPr>
          <w:rFonts w:ascii="Times New Roman" w:hAnsi="Times New Roman" w:cs="Times New Roman"/>
          <w:szCs w:val="20"/>
        </w:rPr>
        <w:t>”</w:t>
      </w:r>
      <w:r w:rsidRPr="002C78A9">
        <w:rPr>
          <w:rFonts w:ascii="Times New Roman" w:hAnsi="Times New Roman" w:cs="Times New Roman" w:hint="eastAsia"/>
          <w:szCs w:val="20"/>
        </w:rPr>
        <w:t xml:space="preserve"> (153).  </w:t>
      </w:r>
      <w:r w:rsidRPr="002C78A9">
        <w:rPr>
          <w:rFonts w:ascii="Times New Roman" w:hAnsi="Times New Roman" w:cs="Times New Roman"/>
          <w:szCs w:val="20"/>
        </w:rPr>
        <w:t>I</w:t>
      </w:r>
      <w:r w:rsidRPr="002C78A9">
        <w:rPr>
          <w:rFonts w:ascii="Times New Roman" w:hAnsi="Times New Roman" w:cs="Times New Roman" w:hint="eastAsia"/>
          <w:szCs w:val="20"/>
        </w:rPr>
        <w:t xml:space="preserve">n this sense, it can be said that </w:t>
      </w:r>
      <w:r w:rsidRPr="002C78A9">
        <w:rPr>
          <w:rFonts w:ascii="Times New Roman" w:hAnsi="Times New Roman" w:cs="Times New Roman"/>
          <w:szCs w:val="20"/>
        </w:rPr>
        <w:t>‘</w:t>
      </w:r>
      <w:r w:rsidRPr="002C78A9">
        <w:rPr>
          <w:rFonts w:ascii="Times New Roman" w:hAnsi="Times New Roman" w:cs="Times New Roman" w:hint="eastAsia"/>
          <w:szCs w:val="20"/>
        </w:rPr>
        <w:t>shouting</w:t>
      </w:r>
      <w:r w:rsidRPr="002C78A9">
        <w:rPr>
          <w:rFonts w:ascii="Times New Roman" w:hAnsi="Times New Roman" w:cs="Times New Roman"/>
          <w:szCs w:val="20"/>
        </w:rPr>
        <w:t>’</w:t>
      </w:r>
      <w:r w:rsidRPr="002C78A9">
        <w:rPr>
          <w:rFonts w:ascii="Times New Roman" w:hAnsi="Times New Roman" w:cs="Times New Roman" w:hint="eastAsia"/>
          <w:szCs w:val="20"/>
        </w:rPr>
        <w:t xml:space="preserve"> is also rule-governed.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F39B6"/>
    <w:multiLevelType w:val="hybridMultilevel"/>
    <w:tmpl w:val="BFBE5946"/>
    <w:lvl w:ilvl="0" w:tplc="AFACFB2E">
      <w:start w:val="1"/>
      <w:numFmt w:val="decimal"/>
      <w:lvlText w:val="%1."/>
      <w:lvlJc w:val="left"/>
      <w:pPr>
        <w:ind w:left="760" w:hanging="360"/>
      </w:pPr>
      <w:rPr>
        <w:rFonts w:hint="default"/>
      </w:rPr>
    </w:lvl>
    <w:lvl w:ilvl="1" w:tplc="04090019">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05DD25BC"/>
    <w:multiLevelType w:val="hybridMultilevel"/>
    <w:tmpl w:val="50C047B8"/>
    <w:lvl w:ilvl="0" w:tplc="09A45D0E">
      <w:start w:val="2"/>
      <w:numFmt w:val="decimal"/>
      <w:lvlText w:val="%1)"/>
      <w:lvlJc w:val="left"/>
      <w:pPr>
        <w:ind w:left="1515" w:hanging="360"/>
      </w:pPr>
      <w:rPr>
        <w:rFonts w:cs="Times New Roman" w:hint="default"/>
      </w:rPr>
    </w:lvl>
    <w:lvl w:ilvl="1" w:tplc="04090019" w:tentative="1">
      <w:start w:val="1"/>
      <w:numFmt w:val="upperLetter"/>
      <w:lvlText w:val="%2."/>
      <w:lvlJc w:val="left"/>
      <w:pPr>
        <w:ind w:left="1955" w:hanging="400"/>
      </w:pPr>
      <w:rPr>
        <w:rFonts w:cs="Times New Roman"/>
      </w:rPr>
    </w:lvl>
    <w:lvl w:ilvl="2" w:tplc="0409001B" w:tentative="1">
      <w:start w:val="1"/>
      <w:numFmt w:val="lowerRoman"/>
      <w:lvlText w:val="%3."/>
      <w:lvlJc w:val="right"/>
      <w:pPr>
        <w:ind w:left="2355" w:hanging="400"/>
      </w:pPr>
      <w:rPr>
        <w:rFonts w:cs="Times New Roman"/>
      </w:rPr>
    </w:lvl>
    <w:lvl w:ilvl="3" w:tplc="0409000F" w:tentative="1">
      <w:start w:val="1"/>
      <w:numFmt w:val="decimal"/>
      <w:lvlText w:val="%4."/>
      <w:lvlJc w:val="left"/>
      <w:pPr>
        <w:ind w:left="2755" w:hanging="400"/>
      </w:pPr>
      <w:rPr>
        <w:rFonts w:cs="Times New Roman"/>
      </w:rPr>
    </w:lvl>
    <w:lvl w:ilvl="4" w:tplc="04090019" w:tentative="1">
      <w:start w:val="1"/>
      <w:numFmt w:val="upperLetter"/>
      <w:lvlText w:val="%5."/>
      <w:lvlJc w:val="left"/>
      <w:pPr>
        <w:ind w:left="3155" w:hanging="400"/>
      </w:pPr>
      <w:rPr>
        <w:rFonts w:cs="Times New Roman"/>
      </w:rPr>
    </w:lvl>
    <w:lvl w:ilvl="5" w:tplc="0409001B" w:tentative="1">
      <w:start w:val="1"/>
      <w:numFmt w:val="lowerRoman"/>
      <w:lvlText w:val="%6."/>
      <w:lvlJc w:val="right"/>
      <w:pPr>
        <w:ind w:left="3555" w:hanging="400"/>
      </w:pPr>
      <w:rPr>
        <w:rFonts w:cs="Times New Roman"/>
      </w:rPr>
    </w:lvl>
    <w:lvl w:ilvl="6" w:tplc="0409000F" w:tentative="1">
      <w:start w:val="1"/>
      <w:numFmt w:val="decimal"/>
      <w:lvlText w:val="%7."/>
      <w:lvlJc w:val="left"/>
      <w:pPr>
        <w:ind w:left="3955" w:hanging="400"/>
      </w:pPr>
      <w:rPr>
        <w:rFonts w:cs="Times New Roman"/>
      </w:rPr>
    </w:lvl>
    <w:lvl w:ilvl="7" w:tplc="04090019" w:tentative="1">
      <w:start w:val="1"/>
      <w:numFmt w:val="upperLetter"/>
      <w:lvlText w:val="%8."/>
      <w:lvlJc w:val="left"/>
      <w:pPr>
        <w:ind w:left="4355" w:hanging="400"/>
      </w:pPr>
      <w:rPr>
        <w:rFonts w:cs="Times New Roman"/>
      </w:rPr>
    </w:lvl>
    <w:lvl w:ilvl="8" w:tplc="0409001B" w:tentative="1">
      <w:start w:val="1"/>
      <w:numFmt w:val="lowerRoman"/>
      <w:lvlText w:val="%9."/>
      <w:lvlJc w:val="right"/>
      <w:pPr>
        <w:ind w:left="4755" w:hanging="400"/>
      </w:pPr>
      <w:rPr>
        <w:rFonts w:cs="Times New Roman"/>
      </w:rPr>
    </w:lvl>
  </w:abstractNum>
  <w:abstractNum w:abstractNumId="2">
    <w:nsid w:val="0664597D"/>
    <w:multiLevelType w:val="hybridMultilevel"/>
    <w:tmpl w:val="9000DD62"/>
    <w:lvl w:ilvl="0" w:tplc="D2D83BF2">
      <w:start w:val="1"/>
      <w:numFmt w:val="decimal"/>
      <w:lvlText w:val="(%1)"/>
      <w:lvlJc w:val="left"/>
      <w:pPr>
        <w:ind w:left="1160" w:hanging="360"/>
      </w:pPr>
      <w:rPr>
        <w:rFonts w:hint="default"/>
      </w:rPr>
    </w:lvl>
    <w:lvl w:ilvl="1" w:tplc="04090019" w:tentative="1">
      <w:start w:val="1"/>
      <w:numFmt w:val="upperLetter"/>
      <w:lvlText w:val="%2."/>
      <w:lvlJc w:val="left"/>
      <w:pPr>
        <w:ind w:left="1600" w:hanging="400"/>
      </w:pPr>
    </w:lvl>
    <w:lvl w:ilvl="2" w:tplc="0409001B" w:tentative="1">
      <w:start w:val="1"/>
      <w:numFmt w:val="lowerRoman"/>
      <w:lvlText w:val="%3."/>
      <w:lvlJc w:val="right"/>
      <w:pPr>
        <w:ind w:left="2000" w:hanging="400"/>
      </w:pPr>
    </w:lvl>
    <w:lvl w:ilvl="3" w:tplc="0409000F" w:tentative="1">
      <w:start w:val="1"/>
      <w:numFmt w:val="decimal"/>
      <w:lvlText w:val="%4."/>
      <w:lvlJc w:val="left"/>
      <w:pPr>
        <w:ind w:left="2400" w:hanging="400"/>
      </w:pPr>
    </w:lvl>
    <w:lvl w:ilvl="4" w:tplc="04090019" w:tentative="1">
      <w:start w:val="1"/>
      <w:numFmt w:val="upperLetter"/>
      <w:lvlText w:val="%5."/>
      <w:lvlJc w:val="left"/>
      <w:pPr>
        <w:ind w:left="2800" w:hanging="400"/>
      </w:pPr>
    </w:lvl>
    <w:lvl w:ilvl="5" w:tplc="0409001B" w:tentative="1">
      <w:start w:val="1"/>
      <w:numFmt w:val="lowerRoman"/>
      <w:lvlText w:val="%6."/>
      <w:lvlJc w:val="right"/>
      <w:pPr>
        <w:ind w:left="3200" w:hanging="400"/>
      </w:pPr>
    </w:lvl>
    <w:lvl w:ilvl="6" w:tplc="0409000F" w:tentative="1">
      <w:start w:val="1"/>
      <w:numFmt w:val="decimal"/>
      <w:lvlText w:val="%7."/>
      <w:lvlJc w:val="left"/>
      <w:pPr>
        <w:ind w:left="3600" w:hanging="400"/>
      </w:pPr>
    </w:lvl>
    <w:lvl w:ilvl="7" w:tplc="04090019" w:tentative="1">
      <w:start w:val="1"/>
      <w:numFmt w:val="upperLetter"/>
      <w:lvlText w:val="%8."/>
      <w:lvlJc w:val="left"/>
      <w:pPr>
        <w:ind w:left="4000" w:hanging="400"/>
      </w:pPr>
    </w:lvl>
    <w:lvl w:ilvl="8" w:tplc="0409001B" w:tentative="1">
      <w:start w:val="1"/>
      <w:numFmt w:val="lowerRoman"/>
      <w:lvlText w:val="%9."/>
      <w:lvlJc w:val="right"/>
      <w:pPr>
        <w:ind w:left="4400" w:hanging="400"/>
      </w:pPr>
    </w:lvl>
  </w:abstractNum>
  <w:abstractNum w:abstractNumId="3">
    <w:nsid w:val="06B04F6B"/>
    <w:multiLevelType w:val="hybridMultilevel"/>
    <w:tmpl w:val="96C80FF4"/>
    <w:lvl w:ilvl="0" w:tplc="9F8A180A">
      <w:start w:val="1"/>
      <w:numFmt w:val="decimal"/>
      <w:lvlText w:val="%1)"/>
      <w:lvlJc w:val="left"/>
      <w:pPr>
        <w:ind w:left="1515" w:hanging="360"/>
      </w:pPr>
      <w:rPr>
        <w:rFonts w:cs="Times New Roman" w:hint="default"/>
      </w:rPr>
    </w:lvl>
    <w:lvl w:ilvl="1" w:tplc="04090019" w:tentative="1">
      <w:start w:val="1"/>
      <w:numFmt w:val="upperLetter"/>
      <w:lvlText w:val="%2."/>
      <w:lvlJc w:val="left"/>
      <w:pPr>
        <w:ind w:left="1955" w:hanging="400"/>
      </w:pPr>
      <w:rPr>
        <w:rFonts w:cs="Times New Roman"/>
      </w:rPr>
    </w:lvl>
    <w:lvl w:ilvl="2" w:tplc="0409001B" w:tentative="1">
      <w:start w:val="1"/>
      <w:numFmt w:val="lowerRoman"/>
      <w:lvlText w:val="%3."/>
      <w:lvlJc w:val="right"/>
      <w:pPr>
        <w:ind w:left="2355" w:hanging="400"/>
      </w:pPr>
      <w:rPr>
        <w:rFonts w:cs="Times New Roman"/>
      </w:rPr>
    </w:lvl>
    <w:lvl w:ilvl="3" w:tplc="0409000F" w:tentative="1">
      <w:start w:val="1"/>
      <w:numFmt w:val="decimal"/>
      <w:lvlText w:val="%4."/>
      <w:lvlJc w:val="left"/>
      <w:pPr>
        <w:ind w:left="2755" w:hanging="400"/>
      </w:pPr>
      <w:rPr>
        <w:rFonts w:cs="Times New Roman"/>
      </w:rPr>
    </w:lvl>
    <w:lvl w:ilvl="4" w:tplc="04090019" w:tentative="1">
      <w:start w:val="1"/>
      <w:numFmt w:val="upperLetter"/>
      <w:lvlText w:val="%5."/>
      <w:lvlJc w:val="left"/>
      <w:pPr>
        <w:ind w:left="3155" w:hanging="400"/>
      </w:pPr>
      <w:rPr>
        <w:rFonts w:cs="Times New Roman"/>
      </w:rPr>
    </w:lvl>
    <w:lvl w:ilvl="5" w:tplc="0409001B" w:tentative="1">
      <w:start w:val="1"/>
      <w:numFmt w:val="lowerRoman"/>
      <w:lvlText w:val="%6."/>
      <w:lvlJc w:val="right"/>
      <w:pPr>
        <w:ind w:left="3555" w:hanging="400"/>
      </w:pPr>
      <w:rPr>
        <w:rFonts w:cs="Times New Roman"/>
      </w:rPr>
    </w:lvl>
    <w:lvl w:ilvl="6" w:tplc="0409000F" w:tentative="1">
      <w:start w:val="1"/>
      <w:numFmt w:val="decimal"/>
      <w:lvlText w:val="%7."/>
      <w:lvlJc w:val="left"/>
      <w:pPr>
        <w:ind w:left="3955" w:hanging="400"/>
      </w:pPr>
      <w:rPr>
        <w:rFonts w:cs="Times New Roman"/>
      </w:rPr>
    </w:lvl>
    <w:lvl w:ilvl="7" w:tplc="04090019" w:tentative="1">
      <w:start w:val="1"/>
      <w:numFmt w:val="upperLetter"/>
      <w:lvlText w:val="%8."/>
      <w:lvlJc w:val="left"/>
      <w:pPr>
        <w:ind w:left="4355" w:hanging="400"/>
      </w:pPr>
      <w:rPr>
        <w:rFonts w:cs="Times New Roman"/>
      </w:rPr>
    </w:lvl>
    <w:lvl w:ilvl="8" w:tplc="0409001B" w:tentative="1">
      <w:start w:val="1"/>
      <w:numFmt w:val="lowerRoman"/>
      <w:lvlText w:val="%9."/>
      <w:lvlJc w:val="right"/>
      <w:pPr>
        <w:ind w:left="4755" w:hanging="400"/>
      </w:pPr>
      <w:rPr>
        <w:rFonts w:cs="Times New Roman"/>
      </w:rPr>
    </w:lvl>
  </w:abstractNum>
  <w:abstractNum w:abstractNumId="4">
    <w:nsid w:val="09E2455B"/>
    <w:multiLevelType w:val="hybridMultilevel"/>
    <w:tmpl w:val="3D207C08"/>
    <w:lvl w:ilvl="0" w:tplc="615C7C98">
      <w:start w:val="1"/>
      <w:numFmt w:val="decimal"/>
      <w:lvlText w:val="%1)"/>
      <w:lvlJc w:val="left"/>
      <w:pPr>
        <w:ind w:left="1960" w:hanging="360"/>
      </w:pPr>
      <w:rPr>
        <w:rFonts w:cs="Times New Roman" w:hint="default"/>
      </w:rPr>
    </w:lvl>
    <w:lvl w:ilvl="1" w:tplc="04090019" w:tentative="1">
      <w:start w:val="1"/>
      <w:numFmt w:val="upperLetter"/>
      <w:lvlText w:val="%2."/>
      <w:lvlJc w:val="left"/>
      <w:pPr>
        <w:ind w:left="2400" w:hanging="400"/>
      </w:pPr>
      <w:rPr>
        <w:rFonts w:cs="Times New Roman"/>
      </w:rPr>
    </w:lvl>
    <w:lvl w:ilvl="2" w:tplc="0409001B" w:tentative="1">
      <w:start w:val="1"/>
      <w:numFmt w:val="lowerRoman"/>
      <w:lvlText w:val="%3."/>
      <w:lvlJc w:val="right"/>
      <w:pPr>
        <w:ind w:left="2800" w:hanging="400"/>
      </w:pPr>
      <w:rPr>
        <w:rFonts w:cs="Times New Roman"/>
      </w:rPr>
    </w:lvl>
    <w:lvl w:ilvl="3" w:tplc="0409000F" w:tentative="1">
      <w:start w:val="1"/>
      <w:numFmt w:val="decimal"/>
      <w:lvlText w:val="%4."/>
      <w:lvlJc w:val="left"/>
      <w:pPr>
        <w:ind w:left="3200" w:hanging="400"/>
      </w:pPr>
      <w:rPr>
        <w:rFonts w:cs="Times New Roman"/>
      </w:rPr>
    </w:lvl>
    <w:lvl w:ilvl="4" w:tplc="04090019" w:tentative="1">
      <w:start w:val="1"/>
      <w:numFmt w:val="upperLetter"/>
      <w:lvlText w:val="%5."/>
      <w:lvlJc w:val="left"/>
      <w:pPr>
        <w:ind w:left="3600" w:hanging="400"/>
      </w:pPr>
      <w:rPr>
        <w:rFonts w:cs="Times New Roman"/>
      </w:rPr>
    </w:lvl>
    <w:lvl w:ilvl="5" w:tplc="0409001B" w:tentative="1">
      <w:start w:val="1"/>
      <w:numFmt w:val="lowerRoman"/>
      <w:lvlText w:val="%6."/>
      <w:lvlJc w:val="right"/>
      <w:pPr>
        <w:ind w:left="4000" w:hanging="400"/>
      </w:pPr>
      <w:rPr>
        <w:rFonts w:cs="Times New Roman"/>
      </w:rPr>
    </w:lvl>
    <w:lvl w:ilvl="6" w:tplc="0409000F" w:tentative="1">
      <w:start w:val="1"/>
      <w:numFmt w:val="decimal"/>
      <w:lvlText w:val="%7."/>
      <w:lvlJc w:val="left"/>
      <w:pPr>
        <w:ind w:left="4400" w:hanging="400"/>
      </w:pPr>
      <w:rPr>
        <w:rFonts w:cs="Times New Roman"/>
      </w:rPr>
    </w:lvl>
    <w:lvl w:ilvl="7" w:tplc="04090019" w:tentative="1">
      <w:start w:val="1"/>
      <w:numFmt w:val="upperLetter"/>
      <w:lvlText w:val="%8."/>
      <w:lvlJc w:val="left"/>
      <w:pPr>
        <w:ind w:left="4800" w:hanging="400"/>
      </w:pPr>
      <w:rPr>
        <w:rFonts w:cs="Times New Roman"/>
      </w:rPr>
    </w:lvl>
    <w:lvl w:ilvl="8" w:tplc="0409001B" w:tentative="1">
      <w:start w:val="1"/>
      <w:numFmt w:val="lowerRoman"/>
      <w:lvlText w:val="%9."/>
      <w:lvlJc w:val="right"/>
      <w:pPr>
        <w:ind w:left="5200" w:hanging="400"/>
      </w:pPr>
      <w:rPr>
        <w:rFonts w:cs="Times New Roman"/>
      </w:rPr>
    </w:lvl>
  </w:abstractNum>
  <w:abstractNum w:abstractNumId="5">
    <w:nsid w:val="0F0D1866"/>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6">
    <w:nsid w:val="16E324D0"/>
    <w:multiLevelType w:val="hybridMultilevel"/>
    <w:tmpl w:val="B7ACE158"/>
    <w:lvl w:ilvl="0" w:tplc="D8FA8AD6">
      <w:start w:val="1"/>
      <w:numFmt w:val="bullet"/>
      <w:lvlText w:val="-"/>
      <w:lvlJc w:val="left"/>
      <w:pPr>
        <w:tabs>
          <w:tab w:val="num" w:pos="720"/>
        </w:tabs>
        <w:ind w:left="720" w:hanging="360"/>
      </w:pPr>
      <w:rPr>
        <w:rFonts w:ascii="Times New Roman" w:eastAsia="SimSu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1D2A01BE"/>
    <w:multiLevelType w:val="hybridMultilevel"/>
    <w:tmpl w:val="32125410"/>
    <w:lvl w:ilvl="0" w:tplc="570CF7DA">
      <w:start w:val="1"/>
      <w:numFmt w:val="decimal"/>
      <w:lvlText w:val="(%1)"/>
      <w:lvlJc w:val="left"/>
      <w:pPr>
        <w:ind w:left="1160" w:hanging="360"/>
      </w:pPr>
      <w:rPr>
        <w:rFonts w:hint="default"/>
      </w:rPr>
    </w:lvl>
    <w:lvl w:ilvl="1" w:tplc="04090019" w:tentative="1">
      <w:start w:val="1"/>
      <w:numFmt w:val="upperLetter"/>
      <w:lvlText w:val="%2."/>
      <w:lvlJc w:val="left"/>
      <w:pPr>
        <w:ind w:left="1600" w:hanging="400"/>
      </w:pPr>
    </w:lvl>
    <w:lvl w:ilvl="2" w:tplc="0409001B" w:tentative="1">
      <w:start w:val="1"/>
      <w:numFmt w:val="lowerRoman"/>
      <w:lvlText w:val="%3."/>
      <w:lvlJc w:val="right"/>
      <w:pPr>
        <w:ind w:left="2000" w:hanging="400"/>
      </w:pPr>
    </w:lvl>
    <w:lvl w:ilvl="3" w:tplc="0409000F" w:tentative="1">
      <w:start w:val="1"/>
      <w:numFmt w:val="decimal"/>
      <w:lvlText w:val="%4."/>
      <w:lvlJc w:val="left"/>
      <w:pPr>
        <w:ind w:left="2400" w:hanging="400"/>
      </w:pPr>
    </w:lvl>
    <w:lvl w:ilvl="4" w:tplc="04090019" w:tentative="1">
      <w:start w:val="1"/>
      <w:numFmt w:val="upperLetter"/>
      <w:lvlText w:val="%5."/>
      <w:lvlJc w:val="left"/>
      <w:pPr>
        <w:ind w:left="2800" w:hanging="400"/>
      </w:pPr>
    </w:lvl>
    <w:lvl w:ilvl="5" w:tplc="0409001B" w:tentative="1">
      <w:start w:val="1"/>
      <w:numFmt w:val="lowerRoman"/>
      <w:lvlText w:val="%6."/>
      <w:lvlJc w:val="right"/>
      <w:pPr>
        <w:ind w:left="3200" w:hanging="400"/>
      </w:pPr>
    </w:lvl>
    <w:lvl w:ilvl="6" w:tplc="0409000F" w:tentative="1">
      <w:start w:val="1"/>
      <w:numFmt w:val="decimal"/>
      <w:lvlText w:val="%7."/>
      <w:lvlJc w:val="left"/>
      <w:pPr>
        <w:ind w:left="3600" w:hanging="400"/>
      </w:pPr>
    </w:lvl>
    <w:lvl w:ilvl="7" w:tplc="04090019" w:tentative="1">
      <w:start w:val="1"/>
      <w:numFmt w:val="upperLetter"/>
      <w:lvlText w:val="%8."/>
      <w:lvlJc w:val="left"/>
      <w:pPr>
        <w:ind w:left="4000" w:hanging="400"/>
      </w:pPr>
    </w:lvl>
    <w:lvl w:ilvl="8" w:tplc="0409001B" w:tentative="1">
      <w:start w:val="1"/>
      <w:numFmt w:val="lowerRoman"/>
      <w:lvlText w:val="%9."/>
      <w:lvlJc w:val="right"/>
      <w:pPr>
        <w:ind w:left="4400" w:hanging="400"/>
      </w:pPr>
    </w:lvl>
  </w:abstractNum>
  <w:abstractNum w:abstractNumId="8">
    <w:nsid w:val="26A532F8"/>
    <w:multiLevelType w:val="hybridMultilevel"/>
    <w:tmpl w:val="A5788A8C"/>
    <w:lvl w:ilvl="0" w:tplc="36223326">
      <w:numFmt w:val="bullet"/>
      <w:lvlText w:val="-"/>
      <w:lvlJc w:val="left"/>
      <w:pPr>
        <w:tabs>
          <w:tab w:val="num" w:pos="760"/>
        </w:tabs>
        <w:ind w:left="760" w:hanging="360"/>
      </w:pPr>
      <w:rPr>
        <w:rFonts w:ascii="Times New Roman" w:eastAsia="바탕" w:hAnsi="Times New Roman" w:cs="Times New Roman" w:hint="default"/>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9">
    <w:nsid w:val="2D9A38E3"/>
    <w:multiLevelType w:val="hybridMultilevel"/>
    <w:tmpl w:val="57F2785A"/>
    <w:lvl w:ilvl="0" w:tplc="C1160BA0">
      <w:start w:val="1"/>
      <w:numFmt w:val="decimal"/>
      <w:lvlText w:val="(%1)"/>
      <w:lvlJc w:val="left"/>
      <w:pPr>
        <w:ind w:left="1155" w:hanging="360"/>
      </w:pPr>
      <w:rPr>
        <w:rFonts w:cs="Times New Roman" w:hint="default"/>
      </w:rPr>
    </w:lvl>
    <w:lvl w:ilvl="1" w:tplc="04090019" w:tentative="1">
      <w:start w:val="1"/>
      <w:numFmt w:val="upperLetter"/>
      <w:lvlText w:val="%2."/>
      <w:lvlJc w:val="left"/>
      <w:pPr>
        <w:ind w:left="1595" w:hanging="400"/>
      </w:pPr>
      <w:rPr>
        <w:rFonts w:cs="Times New Roman"/>
      </w:rPr>
    </w:lvl>
    <w:lvl w:ilvl="2" w:tplc="0409001B" w:tentative="1">
      <w:start w:val="1"/>
      <w:numFmt w:val="lowerRoman"/>
      <w:lvlText w:val="%3."/>
      <w:lvlJc w:val="right"/>
      <w:pPr>
        <w:ind w:left="1995" w:hanging="400"/>
      </w:pPr>
      <w:rPr>
        <w:rFonts w:cs="Times New Roman"/>
      </w:rPr>
    </w:lvl>
    <w:lvl w:ilvl="3" w:tplc="0409000F" w:tentative="1">
      <w:start w:val="1"/>
      <w:numFmt w:val="decimal"/>
      <w:lvlText w:val="%4."/>
      <w:lvlJc w:val="left"/>
      <w:pPr>
        <w:ind w:left="2395" w:hanging="400"/>
      </w:pPr>
      <w:rPr>
        <w:rFonts w:cs="Times New Roman"/>
      </w:rPr>
    </w:lvl>
    <w:lvl w:ilvl="4" w:tplc="04090019" w:tentative="1">
      <w:start w:val="1"/>
      <w:numFmt w:val="upperLetter"/>
      <w:lvlText w:val="%5."/>
      <w:lvlJc w:val="left"/>
      <w:pPr>
        <w:ind w:left="2795" w:hanging="400"/>
      </w:pPr>
      <w:rPr>
        <w:rFonts w:cs="Times New Roman"/>
      </w:rPr>
    </w:lvl>
    <w:lvl w:ilvl="5" w:tplc="0409001B" w:tentative="1">
      <w:start w:val="1"/>
      <w:numFmt w:val="lowerRoman"/>
      <w:lvlText w:val="%6."/>
      <w:lvlJc w:val="right"/>
      <w:pPr>
        <w:ind w:left="3195" w:hanging="400"/>
      </w:pPr>
      <w:rPr>
        <w:rFonts w:cs="Times New Roman"/>
      </w:rPr>
    </w:lvl>
    <w:lvl w:ilvl="6" w:tplc="0409000F" w:tentative="1">
      <w:start w:val="1"/>
      <w:numFmt w:val="decimal"/>
      <w:lvlText w:val="%7."/>
      <w:lvlJc w:val="left"/>
      <w:pPr>
        <w:ind w:left="3595" w:hanging="400"/>
      </w:pPr>
      <w:rPr>
        <w:rFonts w:cs="Times New Roman"/>
      </w:rPr>
    </w:lvl>
    <w:lvl w:ilvl="7" w:tplc="04090019" w:tentative="1">
      <w:start w:val="1"/>
      <w:numFmt w:val="upperLetter"/>
      <w:lvlText w:val="%8."/>
      <w:lvlJc w:val="left"/>
      <w:pPr>
        <w:ind w:left="3995" w:hanging="400"/>
      </w:pPr>
      <w:rPr>
        <w:rFonts w:cs="Times New Roman"/>
      </w:rPr>
    </w:lvl>
    <w:lvl w:ilvl="8" w:tplc="0409001B" w:tentative="1">
      <w:start w:val="1"/>
      <w:numFmt w:val="lowerRoman"/>
      <w:lvlText w:val="%9."/>
      <w:lvlJc w:val="right"/>
      <w:pPr>
        <w:ind w:left="4395" w:hanging="400"/>
      </w:pPr>
      <w:rPr>
        <w:rFonts w:cs="Times New Roman"/>
      </w:rPr>
    </w:lvl>
  </w:abstractNum>
  <w:abstractNum w:abstractNumId="10">
    <w:nsid w:val="3B980130"/>
    <w:multiLevelType w:val="hybridMultilevel"/>
    <w:tmpl w:val="403CA5E0"/>
    <w:lvl w:ilvl="0" w:tplc="0AD287C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1">
    <w:nsid w:val="3E4D518F"/>
    <w:multiLevelType w:val="hybridMultilevel"/>
    <w:tmpl w:val="CAF0CFEC"/>
    <w:lvl w:ilvl="0" w:tplc="0409001B">
      <w:start w:val="1"/>
      <w:numFmt w:val="lowerRoman"/>
      <w:lvlText w:val="%1."/>
      <w:lvlJc w:val="right"/>
      <w:pPr>
        <w:ind w:left="1160" w:hanging="360"/>
      </w:pPr>
      <w:rPr>
        <w:rFonts w:hint="default"/>
      </w:rPr>
    </w:lvl>
    <w:lvl w:ilvl="1" w:tplc="04090019" w:tentative="1">
      <w:start w:val="1"/>
      <w:numFmt w:val="upperLetter"/>
      <w:lvlText w:val="%2."/>
      <w:lvlJc w:val="left"/>
      <w:pPr>
        <w:ind w:left="1600" w:hanging="400"/>
      </w:pPr>
    </w:lvl>
    <w:lvl w:ilvl="2" w:tplc="0409001B" w:tentative="1">
      <w:start w:val="1"/>
      <w:numFmt w:val="lowerRoman"/>
      <w:lvlText w:val="%3."/>
      <w:lvlJc w:val="right"/>
      <w:pPr>
        <w:ind w:left="2000" w:hanging="400"/>
      </w:pPr>
    </w:lvl>
    <w:lvl w:ilvl="3" w:tplc="0409000F" w:tentative="1">
      <w:start w:val="1"/>
      <w:numFmt w:val="decimal"/>
      <w:lvlText w:val="%4."/>
      <w:lvlJc w:val="left"/>
      <w:pPr>
        <w:ind w:left="2400" w:hanging="400"/>
      </w:pPr>
    </w:lvl>
    <w:lvl w:ilvl="4" w:tplc="04090019" w:tentative="1">
      <w:start w:val="1"/>
      <w:numFmt w:val="upperLetter"/>
      <w:lvlText w:val="%5."/>
      <w:lvlJc w:val="left"/>
      <w:pPr>
        <w:ind w:left="2800" w:hanging="400"/>
      </w:pPr>
    </w:lvl>
    <w:lvl w:ilvl="5" w:tplc="0409001B" w:tentative="1">
      <w:start w:val="1"/>
      <w:numFmt w:val="lowerRoman"/>
      <w:lvlText w:val="%6."/>
      <w:lvlJc w:val="right"/>
      <w:pPr>
        <w:ind w:left="3200" w:hanging="400"/>
      </w:pPr>
    </w:lvl>
    <w:lvl w:ilvl="6" w:tplc="0409000F" w:tentative="1">
      <w:start w:val="1"/>
      <w:numFmt w:val="decimal"/>
      <w:lvlText w:val="%7."/>
      <w:lvlJc w:val="left"/>
      <w:pPr>
        <w:ind w:left="3600" w:hanging="400"/>
      </w:pPr>
    </w:lvl>
    <w:lvl w:ilvl="7" w:tplc="04090019" w:tentative="1">
      <w:start w:val="1"/>
      <w:numFmt w:val="upperLetter"/>
      <w:lvlText w:val="%8."/>
      <w:lvlJc w:val="left"/>
      <w:pPr>
        <w:ind w:left="4000" w:hanging="400"/>
      </w:pPr>
    </w:lvl>
    <w:lvl w:ilvl="8" w:tplc="0409001B" w:tentative="1">
      <w:start w:val="1"/>
      <w:numFmt w:val="lowerRoman"/>
      <w:lvlText w:val="%9."/>
      <w:lvlJc w:val="right"/>
      <w:pPr>
        <w:ind w:left="4400" w:hanging="400"/>
      </w:pPr>
    </w:lvl>
  </w:abstractNum>
  <w:abstractNum w:abstractNumId="12">
    <w:nsid w:val="43902B23"/>
    <w:multiLevelType w:val="hybridMultilevel"/>
    <w:tmpl w:val="71124B9A"/>
    <w:lvl w:ilvl="0" w:tplc="2F76276A">
      <w:start w:val="1"/>
      <w:numFmt w:val="decimal"/>
      <w:lvlText w:val="%1."/>
      <w:lvlJc w:val="left"/>
      <w:pPr>
        <w:ind w:left="760" w:hanging="360"/>
      </w:pPr>
      <w:rPr>
        <w:rFonts w:cs="Times New Roman" w:hint="default"/>
      </w:rPr>
    </w:lvl>
    <w:lvl w:ilvl="1" w:tplc="04090019" w:tentative="1">
      <w:start w:val="1"/>
      <w:numFmt w:val="upperLetter"/>
      <w:lvlText w:val="%2."/>
      <w:lvlJc w:val="left"/>
      <w:pPr>
        <w:ind w:left="1200" w:hanging="400"/>
      </w:pPr>
      <w:rPr>
        <w:rFonts w:cs="Times New Roman"/>
      </w:rPr>
    </w:lvl>
    <w:lvl w:ilvl="2" w:tplc="0409001B" w:tentative="1">
      <w:start w:val="1"/>
      <w:numFmt w:val="lowerRoman"/>
      <w:lvlText w:val="%3."/>
      <w:lvlJc w:val="right"/>
      <w:pPr>
        <w:ind w:left="1600" w:hanging="400"/>
      </w:pPr>
      <w:rPr>
        <w:rFonts w:cs="Times New Roman"/>
      </w:rPr>
    </w:lvl>
    <w:lvl w:ilvl="3" w:tplc="0409000F" w:tentative="1">
      <w:start w:val="1"/>
      <w:numFmt w:val="decimal"/>
      <w:lvlText w:val="%4."/>
      <w:lvlJc w:val="left"/>
      <w:pPr>
        <w:ind w:left="2000" w:hanging="400"/>
      </w:pPr>
      <w:rPr>
        <w:rFonts w:cs="Times New Roman"/>
      </w:rPr>
    </w:lvl>
    <w:lvl w:ilvl="4" w:tplc="04090019" w:tentative="1">
      <w:start w:val="1"/>
      <w:numFmt w:val="upperLetter"/>
      <w:lvlText w:val="%5."/>
      <w:lvlJc w:val="left"/>
      <w:pPr>
        <w:ind w:left="2400" w:hanging="400"/>
      </w:pPr>
      <w:rPr>
        <w:rFonts w:cs="Times New Roman"/>
      </w:rPr>
    </w:lvl>
    <w:lvl w:ilvl="5" w:tplc="0409001B" w:tentative="1">
      <w:start w:val="1"/>
      <w:numFmt w:val="lowerRoman"/>
      <w:lvlText w:val="%6."/>
      <w:lvlJc w:val="right"/>
      <w:pPr>
        <w:ind w:left="2800" w:hanging="400"/>
      </w:pPr>
      <w:rPr>
        <w:rFonts w:cs="Times New Roman"/>
      </w:rPr>
    </w:lvl>
    <w:lvl w:ilvl="6" w:tplc="0409000F" w:tentative="1">
      <w:start w:val="1"/>
      <w:numFmt w:val="decimal"/>
      <w:lvlText w:val="%7."/>
      <w:lvlJc w:val="left"/>
      <w:pPr>
        <w:ind w:left="3200" w:hanging="400"/>
      </w:pPr>
      <w:rPr>
        <w:rFonts w:cs="Times New Roman"/>
      </w:rPr>
    </w:lvl>
    <w:lvl w:ilvl="7" w:tplc="04090019" w:tentative="1">
      <w:start w:val="1"/>
      <w:numFmt w:val="upperLetter"/>
      <w:lvlText w:val="%8."/>
      <w:lvlJc w:val="left"/>
      <w:pPr>
        <w:ind w:left="3600" w:hanging="400"/>
      </w:pPr>
      <w:rPr>
        <w:rFonts w:cs="Times New Roman"/>
      </w:rPr>
    </w:lvl>
    <w:lvl w:ilvl="8" w:tplc="0409001B" w:tentative="1">
      <w:start w:val="1"/>
      <w:numFmt w:val="lowerRoman"/>
      <w:lvlText w:val="%9."/>
      <w:lvlJc w:val="right"/>
      <w:pPr>
        <w:ind w:left="4000" w:hanging="400"/>
      </w:pPr>
      <w:rPr>
        <w:rFonts w:cs="Times New Roman"/>
      </w:rPr>
    </w:lvl>
  </w:abstractNum>
  <w:abstractNum w:abstractNumId="13">
    <w:nsid w:val="49C54E2F"/>
    <w:multiLevelType w:val="hybridMultilevel"/>
    <w:tmpl w:val="E62E3932"/>
    <w:lvl w:ilvl="0" w:tplc="94505512">
      <w:numFmt w:val="bullet"/>
      <w:lvlText w:val="-"/>
      <w:lvlJc w:val="left"/>
      <w:pPr>
        <w:ind w:left="760" w:hanging="360"/>
      </w:pPr>
      <w:rPr>
        <w:rFonts w:ascii="맑은 고딕" w:eastAsia="맑은 고딕" w:hAnsi="맑은 고딕"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4">
    <w:nsid w:val="4B2B7F1D"/>
    <w:multiLevelType w:val="hybridMultilevel"/>
    <w:tmpl w:val="CA3AC750"/>
    <w:lvl w:ilvl="0" w:tplc="91E0BDCC">
      <w:start w:val="1"/>
      <w:numFmt w:val="decimal"/>
      <w:lvlText w:val="%1."/>
      <w:lvlJc w:val="left"/>
      <w:pPr>
        <w:ind w:left="1080" w:hanging="360"/>
      </w:pPr>
      <w:rPr>
        <w:rFonts w:hint="default"/>
      </w:rPr>
    </w:lvl>
    <w:lvl w:ilvl="1" w:tplc="04090019" w:tentative="1">
      <w:start w:val="1"/>
      <w:numFmt w:val="upperLetter"/>
      <w:lvlText w:val="%2."/>
      <w:lvlJc w:val="left"/>
      <w:pPr>
        <w:ind w:left="1520" w:hanging="400"/>
      </w:pPr>
    </w:lvl>
    <w:lvl w:ilvl="2" w:tplc="0409001B" w:tentative="1">
      <w:start w:val="1"/>
      <w:numFmt w:val="lowerRoman"/>
      <w:lvlText w:val="%3."/>
      <w:lvlJc w:val="right"/>
      <w:pPr>
        <w:ind w:left="1920" w:hanging="400"/>
      </w:pPr>
    </w:lvl>
    <w:lvl w:ilvl="3" w:tplc="0409000F" w:tentative="1">
      <w:start w:val="1"/>
      <w:numFmt w:val="decimal"/>
      <w:lvlText w:val="%4."/>
      <w:lvlJc w:val="left"/>
      <w:pPr>
        <w:ind w:left="2320" w:hanging="400"/>
      </w:pPr>
    </w:lvl>
    <w:lvl w:ilvl="4" w:tplc="04090019" w:tentative="1">
      <w:start w:val="1"/>
      <w:numFmt w:val="upperLetter"/>
      <w:lvlText w:val="%5."/>
      <w:lvlJc w:val="left"/>
      <w:pPr>
        <w:ind w:left="2720" w:hanging="400"/>
      </w:pPr>
    </w:lvl>
    <w:lvl w:ilvl="5" w:tplc="0409001B" w:tentative="1">
      <w:start w:val="1"/>
      <w:numFmt w:val="lowerRoman"/>
      <w:lvlText w:val="%6."/>
      <w:lvlJc w:val="right"/>
      <w:pPr>
        <w:ind w:left="3120" w:hanging="400"/>
      </w:pPr>
    </w:lvl>
    <w:lvl w:ilvl="6" w:tplc="0409000F" w:tentative="1">
      <w:start w:val="1"/>
      <w:numFmt w:val="decimal"/>
      <w:lvlText w:val="%7."/>
      <w:lvlJc w:val="left"/>
      <w:pPr>
        <w:ind w:left="3520" w:hanging="400"/>
      </w:pPr>
    </w:lvl>
    <w:lvl w:ilvl="7" w:tplc="04090019" w:tentative="1">
      <w:start w:val="1"/>
      <w:numFmt w:val="upperLetter"/>
      <w:lvlText w:val="%8."/>
      <w:lvlJc w:val="left"/>
      <w:pPr>
        <w:ind w:left="3920" w:hanging="400"/>
      </w:pPr>
    </w:lvl>
    <w:lvl w:ilvl="8" w:tplc="0409001B" w:tentative="1">
      <w:start w:val="1"/>
      <w:numFmt w:val="lowerRoman"/>
      <w:lvlText w:val="%9."/>
      <w:lvlJc w:val="right"/>
      <w:pPr>
        <w:ind w:left="4320" w:hanging="400"/>
      </w:pPr>
    </w:lvl>
  </w:abstractNum>
  <w:abstractNum w:abstractNumId="15">
    <w:nsid w:val="517C5A97"/>
    <w:multiLevelType w:val="hybridMultilevel"/>
    <w:tmpl w:val="D858276A"/>
    <w:lvl w:ilvl="0" w:tplc="C96CAB6C">
      <w:start w:val="1"/>
      <w:numFmt w:val="decimal"/>
      <w:lvlText w:val="(%1)"/>
      <w:lvlJc w:val="left"/>
      <w:pPr>
        <w:ind w:left="1080" w:hanging="360"/>
      </w:pPr>
      <w:rPr>
        <w:rFonts w:cs="Times New Roman" w:hint="default"/>
      </w:rPr>
    </w:lvl>
    <w:lvl w:ilvl="1" w:tplc="04090019" w:tentative="1">
      <w:start w:val="1"/>
      <w:numFmt w:val="upperLetter"/>
      <w:lvlText w:val="%2."/>
      <w:lvlJc w:val="left"/>
      <w:pPr>
        <w:ind w:left="1520" w:hanging="400"/>
      </w:pPr>
      <w:rPr>
        <w:rFonts w:cs="Times New Roman"/>
      </w:rPr>
    </w:lvl>
    <w:lvl w:ilvl="2" w:tplc="0409001B" w:tentative="1">
      <w:start w:val="1"/>
      <w:numFmt w:val="lowerRoman"/>
      <w:lvlText w:val="%3."/>
      <w:lvlJc w:val="right"/>
      <w:pPr>
        <w:ind w:left="1920" w:hanging="400"/>
      </w:pPr>
      <w:rPr>
        <w:rFonts w:cs="Times New Roman"/>
      </w:rPr>
    </w:lvl>
    <w:lvl w:ilvl="3" w:tplc="0409000F" w:tentative="1">
      <w:start w:val="1"/>
      <w:numFmt w:val="decimal"/>
      <w:lvlText w:val="%4."/>
      <w:lvlJc w:val="left"/>
      <w:pPr>
        <w:ind w:left="2320" w:hanging="400"/>
      </w:pPr>
      <w:rPr>
        <w:rFonts w:cs="Times New Roman"/>
      </w:rPr>
    </w:lvl>
    <w:lvl w:ilvl="4" w:tplc="04090019" w:tentative="1">
      <w:start w:val="1"/>
      <w:numFmt w:val="upperLetter"/>
      <w:lvlText w:val="%5."/>
      <w:lvlJc w:val="left"/>
      <w:pPr>
        <w:ind w:left="2720" w:hanging="400"/>
      </w:pPr>
      <w:rPr>
        <w:rFonts w:cs="Times New Roman"/>
      </w:rPr>
    </w:lvl>
    <w:lvl w:ilvl="5" w:tplc="0409001B" w:tentative="1">
      <w:start w:val="1"/>
      <w:numFmt w:val="lowerRoman"/>
      <w:lvlText w:val="%6."/>
      <w:lvlJc w:val="right"/>
      <w:pPr>
        <w:ind w:left="3120" w:hanging="400"/>
      </w:pPr>
      <w:rPr>
        <w:rFonts w:cs="Times New Roman"/>
      </w:rPr>
    </w:lvl>
    <w:lvl w:ilvl="6" w:tplc="0409000F" w:tentative="1">
      <w:start w:val="1"/>
      <w:numFmt w:val="decimal"/>
      <w:lvlText w:val="%7."/>
      <w:lvlJc w:val="left"/>
      <w:pPr>
        <w:ind w:left="3520" w:hanging="400"/>
      </w:pPr>
      <w:rPr>
        <w:rFonts w:cs="Times New Roman"/>
      </w:rPr>
    </w:lvl>
    <w:lvl w:ilvl="7" w:tplc="04090019" w:tentative="1">
      <w:start w:val="1"/>
      <w:numFmt w:val="upperLetter"/>
      <w:lvlText w:val="%8."/>
      <w:lvlJc w:val="left"/>
      <w:pPr>
        <w:ind w:left="3920" w:hanging="400"/>
      </w:pPr>
      <w:rPr>
        <w:rFonts w:cs="Times New Roman"/>
      </w:rPr>
    </w:lvl>
    <w:lvl w:ilvl="8" w:tplc="0409001B" w:tentative="1">
      <w:start w:val="1"/>
      <w:numFmt w:val="lowerRoman"/>
      <w:lvlText w:val="%9."/>
      <w:lvlJc w:val="right"/>
      <w:pPr>
        <w:ind w:left="4320" w:hanging="400"/>
      </w:pPr>
      <w:rPr>
        <w:rFonts w:cs="Times New Roman"/>
      </w:rPr>
    </w:lvl>
  </w:abstractNum>
  <w:abstractNum w:abstractNumId="16">
    <w:nsid w:val="533730F1"/>
    <w:multiLevelType w:val="multilevel"/>
    <w:tmpl w:val="02BC2AD8"/>
    <w:lvl w:ilvl="0">
      <w:start w:val="1"/>
      <w:numFmt w:val="decimal"/>
      <w:lvlText w:val="(%1)"/>
      <w:lvlJc w:val="left"/>
      <w:pPr>
        <w:ind w:left="1160" w:hanging="360"/>
      </w:pPr>
      <w:rPr>
        <w:rFonts w:hint="default"/>
      </w:rPr>
    </w:lvl>
    <w:lvl w:ilvl="1">
      <w:start w:val="1"/>
      <w:numFmt w:val="upperLetter"/>
      <w:lvlText w:val="%2."/>
      <w:lvlJc w:val="left"/>
      <w:pPr>
        <w:ind w:left="1600" w:hanging="400"/>
      </w:pPr>
    </w:lvl>
    <w:lvl w:ilvl="2">
      <w:start w:val="1"/>
      <w:numFmt w:val="lowerRoman"/>
      <w:lvlText w:val="%3."/>
      <w:lvlJc w:val="right"/>
      <w:pPr>
        <w:ind w:left="2000" w:hanging="400"/>
      </w:pPr>
    </w:lvl>
    <w:lvl w:ilvl="3">
      <w:start w:val="1"/>
      <w:numFmt w:val="decimal"/>
      <w:lvlText w:val="%4."/>
      <w:lvlJc w:val="left"/>
      <w:pPr>
        <w:ind w:left="2400" w:hanging="400"/>
      </w:pPr>
    </w:lvl>
    <w:lvl w:ilvl="4">
      <w:start w:val="1"/>
      <w:numFmt w:val="upperLetter"/>
      <w:lvlText w:val="%5."/>
      <w:lvlJc w:val="left"/>
      <w:pPr>
        <w:ind w:left="2800" w:hanging="400"/>
      </w:pPr>
    </w:lvl>
    <w:lvl w:ilvl="5">
      <w:start w:val="1"/>
      <w:numFmt w:val="lowerRoman"/>
      <w:lvlText w:val="%6."/>
      <w:lvlJc w:val="right"/>
      <w:pPr>
        <w:ind w:left="3200" w:hanging="400"/>
      </w:pPr>
    </w:lvl>
    <w:lvl w:ilvl="6">
      <w:start w:val="1"/>
      <w:numFmt w:val="decimal"/>
      <w:lvlText w:val="%7."/>
      <w:lvlJc w:val="left"/>
      <w:pPr>
        <w:ind w:left="3600" w:hanging="400"/>
      </w:pPr>
    </w:lvl>
    <w:lvl w:ilvl="7">
      <w:start w:val="1"/>
      <w:numFmt w:val="upperLetter"/>
      <w:lvlText w:val="%8."/>
      <w:lvlJc w:val="left"/>
      <w:pPr>
        <w:ind w:left="4000" w:hanging="400"/>
      </w:pPr>
    </w:lvl>
    <w:lvl w:ilvl="8">
      <w:start w:val="1"/>
      <w:numFmt w:val="lowerRoman"/>
      <w:lvlText w:val="%9."/>
      <w:lvlJc w:val="right"/>
      <w:pPr>
        <w:ind w:left="4400" w:hanging="400"/>
      </w:pPr>
    </w:lvl>
  </w:abstractNum>
  <w:abstractNum w:abstractNumId="17">
    <w:nsid w:val="54C855B9"/>
    <w:multiLevelType w:val="hybridMultilevel"/>
    <w:tmpl w:val="2DCA1442"/>
    <w:lvl w:ilvl="0" w:tplc="C0AAB90A">
      <w:start w:val="1"/>
      <w:numFmt w:val="decimal"/>
      <w:lvlText w:val="(%1)"/>
      <w:lvlJc w:val="left"/>
      <w:pPr>
        <w:ind w:left="1800" w:hanging="360"/>
      </w:pPr>
      <w:rPr>
        <w:rFonts w:hint="default"/>
      </w:rPr>
    </w:lvl>
    <w:lvl w:ilvl="1" w:tplc="04090019" w:tentative="1">
      <w:start w:val="1"/>
      <w:numFmt w:val="upperLetter"/>
      <w:lvlText w:val="%2."/>
      <w:lvlJc w:val="left"/>
      <w:pPr>
        <w:ind w:left="2240" w:hanging="400"/>
      </w:pPr>
    </w:lvl>
    <w:lvl w:ilvl="2" w:tplc="0409001B" w:tentative="1">
      <w:start w:val="1"/>
      <w:numFmt w:val="lowerRoman"/>
      <w:lvlText w:val="%3."/>
      <w:lvlJc w:val="right"/>
      <w:pPr>
        <w:ind w:left="2640" w:hanging="400"/>
      </w:pPr>
    </w:lvl>
    <w:lvl w:ilvl="3" w:tplc="0409000F" w:tentative="1">
      <w:start w:val="1"/>
      <w:numFmt w:val="decimal"/>
      <w:lvlText w:val="%4."/>
      <w:lvlJc w:val="left"/>
      <w:pPr>
        <w:ind w:left="3040" w:hanging="400"/>
      </w:pPr>
    </w:lvl>
    <w:lvl w:ilvl="4" w:tplc="04090019" w:tentative="1">
      <w:start w:val="1"/>
      <w:numFmt w:val="upperLetter"/>
      <w:lvlText w:val="%5."/>
      <w:lvlJc w:val="left"/>
      <w:pPr>
        <w:ind w:left="3440" w:hanging="400"/>
      </w:pPr>
    </w:lvl>
    <w:lvl w:ilvl="5" w:tplc="0409001B" w:tentative="1">
      <w:start w:val="1"/>
      <w:numFmt w:val="lowerRoman"/>
      <w:lvlText w:val="%6."/>
      <w:lvlJc w:val="right"/>
      <w:pPr>
        <w:ind w:left="3840" w:hanging="400"/>
      </w:pPr>
    </w:lvl>
    <w:lvl w:ilvl="6" w:tplc="0409000F" w:tentative="1">
      <w:start w:val="1"/>
      <w:numFmt w:val="decimal"/>
      <w:lvlText w:val="%7."/>
      <w:lvlJc w:val="left"/>
      <w:pPr>
        <w:ind w:left="4240" w:hanging="400"/>
      </w:pPr>
    </w:lvl>
    <w:lvl w:ilvl="7" w:tplc="04090019" w:tentative="1">
      <w:start w:val="1"/>
      <w:numFmt w:val="upperLetter"/>
      <w:lvlText w:val="%8."/>
      <w:lvlJc w:val="left"/>
      <w:pPr>
        <w:ind w:left="4640" w:hanging="400"/>
      </w:pPr>
    </w:lvl>
    <w:lvl w:ilvl="8" w:tplc="0409001B" w:tentative="1">
      <w:start w:val="1"/>
      <w:numFmt w:val="lowerRoman"/>
      <w:lvlText w:val="%9."/>
      <w:lvlJc w:val="right"/>
      <w:pPr>
        <w:ind w:left="5040" w:hanging="400"/>
      </w:pPr>
    </w:lvl>
  </w:abstractNum>
  <w:abstractNum w:abstractNumId="18">
    <w:nsid w:val="55D87C8D"/>
    <w:multiLevelType w:val="hybridMultilevel"/>
    <w:tmpl w:val="AD981A7E"/>
    <w:lvl w:ilvl="0" w:tplc="4C048EB8">
      <w:start w:val="4"/>
      <w:numFmt w:val="decimal"/>
      <w:lvlText w:val="%1)"/>
      <w:lvlJc w:val="left"/>
      <w:pPr>
        <w:ind w:left="1495" w:hanging="360"/>
      </w:pPr>
      <w:rPr>
        <w:rFonts w:hint="default"/>
      </w:rPr>
    </w:lvl>
    <w:lvl w:ilvl="1" w:tplc="04090019" w:tentative="1">
      <w:start w:val="1"/>
      <w:numFmt w:val="upperLetter"/>
      <w:lvlText w:val="%2."/>
      <w:lvlJc w:val="left"/>
      <w:pPr>
        <w:ind w:left="1935" w:hanging="400"/>
      </w:pPr>
    </w:lvl>
    <w:lvl w:ilvl="2" w:tplc="0409001B" w:tentative="1">
      <w:start w:val="1"/>
      <w:numFmt w:val="lowerRoman"/>
      <w:lvlText w:val="%3."/>
      <w:lvlJc w:val="right"/>
      <w:pPr>
        <w:ind w:left="2335" w:hanging="400"/>
      </w:pPr>
    </w:lvl>
    <w:lvl w:ilvl="3" w:tplc="0409000F" w:tentative="1">
      <w:start w:val="1"/>
      <w:numFmt w:val="decimal"/>
      <w:lvlText w:val="%4."/>
      <w:lvlJc w:val="left"/>
      <w:pPr>
        <w:ind w:left="2735" w:hanging="400"/>
      </w:pPr>
    </w:lvl>
    <w:lvl w:ilvl="4" w:tplc="04090019" w:tentative="1">
      <w:start w:val="1"/>
      <w:numFmt w:val="upperLetter"/>
      <w:lvlText w:val="%5."/>
      <w:lvlJc w:val="left"/>
      <w:pPr>
        <w:ind w:left="3135" w:hanging="400"/>
      </w:pPr>
    </w:lvl>
    <w:lvl w:ilvl="5" w:tplc="0409001B" w:tentative="1">
      <w:start w:val="1"/>
      <w:numFmt w:val="lowerRoman"/>
      <w:lvlText w:val="%6."/>
      <w:lvlJc w:val="right"/>
      <w:pPr>
        <w:ind w:left="3535" w:hanging="400"/>
      </w:pPr>
    </w:lvl>
    <w:lvl w:ilvl="6" w:tplc="0409000F" w:tentative="1">
      <w:start w:val="1"/>
      <w:numFmt w:val="decimal"/>
      <w:lvlText w:val="%7."/>
      <w:lvlJc w:val="left"/>
      <w:pPr>
        <w:ind w:left="3935" w:hanging="400"/>
      </w:pPr>
    </w:lvl>
    <w:lvl w:ilvl="7" w:tplc="04090019" w:tentative="1">
      <w:start w:val="1"/>
      <w:numFmt w:val="upperLetter"/>
      <w:lvlText w:val="%8."/>
      <w:lvlJc w:val="left"/>
      <w:pPr>
        <w:ind w:left="4335" w:hanging="400"/>
      </w:pPr>
    </w:lvl>
    <w:lvl w:ilvl="8" w:tplc="0409001B" w:tentative="1">
      <w:start w:val="1"/>
      <w:numFmt w:val="lowerRoman"/>
      <w:lvlText w:val="%9."/>
      <w:lvlJc w:val="right"/>
      <w:pPr>
        <w:ind w:left="4735" w:hanging="400"/>
      </w:pPr>
    </w:lvl>
  </w:abstractNum>
  <w:abstractNum w:abstractNumId="19">
    <w:nsid w:val="63143390"/>
    <w:multiLevelType w:val="hybridMultilevel"/>
    <w:tmpl w:val="CED0B2B0"/>
    <w:lvl w:ilvl="0" w:tplc="1C8440F2">
      <w:start w:val="1"/>
      <w:numFmt w:val="decimal"/>
      <w:lvlText w:val="%1."/>
      <w:lvlJc w:val="left"/>
      <w:pPr>
        <w:ind w:left="1160" w:hanging="360"/>
      </w:pPr>
      <w:rPr>
        <w:rFonts w:hint="default"/>
      </w:rPr>
    </w:lvl>
    <w:lvl w:ilvl="1" w:tplc="04090019" w:tentative="1">
      <w:start w:val="1"/>
      <w:numFmt w:val="upperLetter"/>
      <w:lvlText w:val="%2."/>
      <w:lvlJc w:val="left"/>
      <w:pPr>
        <w:ind w:left="1600" w:hanging="400"/>
      </w:pPr>
    </w:lvl>
    <w:lvl w:ilvl="2" w:tplc="0409001B" w:tentative="1">
      <w:start w:val="1"/>
      <w:numFmt w:val="lowerRoman"/>
      <w:lvlText w:val="%3."/>
      <w:lvlJc w:val="right"/>
      <w:pPr>
        <w:ind w:left="2000" w:hanging="400"/>
      </w:pPr>
    </w:lvl>
    <w:lvl w:ilvl="3" w:tplc="0409000F" w:tentative="1">
      <w:start w:val="1"/>
      <w:numFmt w:val="decimal"/>
      <w:lvlText w:val="%4."/>
      <w:lvlJc w:val="left"/>
      <w:pPr>
        <w:ind w:left="2400" w:hanging="400"/>
      </w:pPr>
    </w:lvl>
    <w:lvl w:ilvl="4" w:tplc="04090019" w:tentative="1">
      <w:start w:val="1"/>
      <w:numFmt w:val="upperLetter"/>
      <w:lvlText w:val="%5."/>
      <w:lvlJc w:val="left"/>
      <w:pPr>
        <w:ind w:left="2800" w:hanging="400"/>
      </w:pPr>
    </w:lvl>
    <w:lvl w:ilvl="5" w:tplc="0409001B" w:tentative="1">
      <w:start w:val="1"/>
      <w:numFmt w:val="lowerRoman"/>
      <w:lvlText w:val="%6."/>
      <w:lvlJc w:val="right"/>
      <w:pPr>
        <w:ind w:left="3200" w:hanging="400"/>
      </w:pPr>
    </w:lvl>
    <w:lvl w:ilvl="6" w:tplc="0409000F" w:tentative="1">
      <w:start w:val="1"/>
      <w:numFmt w:val="decimal"/>
      <w:lvlText w:val="%7."/>
      <w:lvlJc w:val="left"/>
      <w:pPr>
        <w:ind w:left="3600" w:hanging="400"/>
      </w:pPr>
    </w:lvl>
    <w:lvl w:ilvl="7" w:tplc="04090019" w:tentative="1">
      <w:start w:val="1"/>
      <w:numFmt w:val="upperLetter"/>
      <w:lvlText w:val="%8."/>
      <w:lvlJc w:val="left"/>
      <w:pPr>
        <w:ind w:left="4000" w:hanging="400"/>
      </w:pPr>
    </w:lvl>
    <w:lvl w:ilvl="8" w:tplc="0409001B" w:tentative="1">
      <w:start w:val="1"/>
      <w:numFmt w:val="lowerRoman"/>
      <w:lvlText w:val="%9."/>
      <w:lvlJc w:val="right"/>
      <w:pPr>
        <w:ind w:left="4400" w:hanging="400"/>
      </w:pPr>
    </w:lvl>
  </w:abstractNum>
  <w:abstractNum w:abstractNumId="20">
    <w:nsid w:val="6420708D"/>
    <w:multiLevelType w:val="hybridMultilevel"/>
    <w:tmpl w:val="DA16FA68"/>
    <w:lvl w:ilvl="0" w:tplc="2E3E8D8C">
      <w:numFmt w:val="bullet"/>
      <w:lvlText w:val="-"/>
      <w:lvlJc w:val="left"/>
      <w:pPr>
        <w:ind w:left="760" w:hanging="360"/>
      </w:pPr>
      <w:rPr>
        <w:rFonts w:ascii="Times New Roman" w:eastAsia="바탕"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1">
    <w:nsid w:val="66B7471B"/>
    <w:multiLevelType w:val="hybridMultilevel"/>
    <w:tmpl w:val="95D214EA"/>
    <w:lvl w:ilvl="0" w:tplc="EFBC9812">
      <w:numFmt w:val="bullet"/>
      <w:lvlText w:val="-"/>
      <w:lvlJc w:val="left"/>
      <w:pPr>
        <w:tabs>
          <w:tab w:val="num" w:pos="760"/>
        </w:tabs>
        <w:ind w:left="760" w:hanging="360"/>
      </w:pPr>
      <w:rPr>
        <w:rFonts w:ascii="Times New Roman" w:eastAsia="바탕" w:hAnsi="Times New Roman" w:cs="Times New Roman" w:hint="default"/>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22">
    <w:nsid w:val="677E1BD9"/>
    <w:multiLevelType w:val="hybridMultilevel"/>
    <w:tmpl w:val="36CA4B2E"/>
    <w:lvl w:ilvl="0" w:tplc="8028E86C">
      <w:numFmt w:val="bullet"/>
      <w:lvlText w:val="-"/>
      <w:lvlJc w:val="left"/>
      <w:pPr>
        <w:tabs>
          <w:tab w:val="num" w:pos="760"/>
        </w:tabs>
        <w:ind w:left="760" w:hanging="360"/>
      </w:pPr>
      <w:rPr>
        <w:rFonts w:ascii="Times New Roman" w:eastAsia="바탕" w:hAnsi="Times New Roman" w:cs="Times New Roman" w:hint="default"/>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23">
    <w:nsid w:val="691B0579"/>
    <w:multiLevelType w:val="hybridMultilevel"/>
    <w:tmpl w:val="C1A42DE2"/>
    <w:lvl w:ilvl="0" w:tplc="9A6484E4">
      <w:start w:val="1"/>
      <w:numFmt w:val="decimal"/>
      <w:lvlText w:val="(%1)"/>
      <w:lvlJc w:val="left"/>
      <w:pPr>
        <w:ind w:left="1440" w:hanging="360"/>
      </w:pPr>
      <w:rPr>
        <w:rFonts w:hint="default"/>
      </w:rPr>
    </w:lvl>
    <w:lvl w:ilvl="1" w:tplc="04090019" w:tentative="1">
      <w:start w:val="1"/>
      <w:numFmt w:val="upperLetter"/>
      <w:lvlText w:val="%2."/>
      <w:lvlJc w:val="left"/>
      <w:pPr>
        <w:ind w:left="1880" w:hanging="400"/>
      </w:pPr>
    </w:lvl>
    <w:lvl w:ilvl="2" w:tplc="0409001B" w:tentative="1">
      <w:start w:val="1"/>
      <w:numFmt w:val="lowerRoman"/>
      <w:lvlText w:val="%3."/>
      <w:lvlJc w:val="right"/>
      <w:pPr>
        <w:ind w:left="2280" w:hanging="400"/>
      </w:pPr>
    </w:lvl>
    <w:lvl w:ilvl="3" w:tplc="0409000F" w:tentative="1">
      <w:start w:val="1"/>
      <w:numFmt w:val="decimal"/>
      <w:lvlText w:val="%4."/>
      <w:lvlJc w:val="left"/>
      <w:pPr>
        <w:ind w:left="2680" w:hanging="400"/>
      </w:pPr>
    </w:lvl>
    <w:lvl w:ilvl="4" w:tplc="04090019" w:tentative="1">
      <w:start w:val="1"/>
      <w:numFmt w:val="upperLetter"/>
      <w:lvlText w:val="%5."/>
      <w:lvlJc w:val="left"/>
      <w:pPr>
        <w:ind w:left="3080" w:hanging="400"/>
      </w:pPr>
    </w:lvl>
    <w:lvl w:ilvl="5" w:tplc="0409001B" w:tentative="1">
      <w:start w:val="1"/>
      <w:numFmt w:val="lowerRoman"/>
      <w:lvlText w:val="%6."/>
      <w:lvlJc w:val="right"/>
      <w:pPr>
        <w:ind w:left="3480" w:hanging="400"/>
      </w:pPr>
    </w:lvl>
    <w:lvl w:ilvl="6" w:tplc="0409000F" w:tentative="1">
      <w:start w:val="1"/>
      <w:numFmt w:val="decimal"/>
      <w:lvlText w:val="%7."/>
      <w:lvlJc w:val="left"/>
      <w:pPr>
        <w:ind w:left="3880" w:hanging="400"/>
      </w:pPr>
    </w:lvl>
    <w:lvl w:ilvl="7" w:tplc="04090019" w:tentative="1">
      <w:start w:val="1"/>
      <w:numFmt w:val="upperLetter"/>
      <w:lvlText w:val="%8."/>
      <w:lvlJc w:val="left"/>
      <w:pPr>
        <w:ind w:left="4280" w:hanging="400"/>
      </w:pPr>
    </w:lvl>
    <w:lvl w:ilvl="8" w:tplc="0409001B" w:tentative="1">
      <w:start w:val="1"/>
      <w:numFmt w:val="lowerRoman"/>
      <w:lvlText w:val="%9."/>
      <w:lvlJc w:val="right"/>
      <w:pPr>
        <w:ind w:left="4680" w:hanging="400"/>
      </w:pPr>
    </w:lvl>
  </w:abstractNum>
  <w:abstractNum w:abstractNumId="24">
    <w:nsid w:val="733C1D8D"/>
    <w:multiLevelType w:val="multilevel"/>
    <w:tmpl w:val="305C9FF2"/>
    <w:lvl w:ilvl="0">
      <w:start w:val="1"/>
      <w:numFmt w:val="decimal"/>
      <w:lvlText w:val="(%1)"/>
      <w:lvlJc w:val="left"/>
      <w:pPr>
        <w:ind w:left="1160" w:hanging="360"/>
      </w:pPr>
      <w:rPr>
        <w:rFonts w:hint="default"/>
      </w:rPr>
    </w:lvl>
    <w:lvl w:ilvl="1">
      <w:start w:val="1"/>
      <w:numFmt w:val="upperLetter"/>
      <w:lvlText w:val="%2."/>
      <w:lvlJc w:val="left"/>
      <w:pPr>
        <w:ind w:left="1600" w:hanging="400"/>
      </w:pPr>
    </w:lvl>
    <w:lvl w:ilvl="2">
      <w:start w:val="1"/>
      <w:numFmt w:val="lowerRoman"/>
      <w:lvlText w:val="%3."/>
      <w:lvlJc w:val="right"/>
      <w:pPr>
        <w:ind w:left="2000" w:hanging="400"/>
      </w:pPr>
    </w:lvl>
    <w:lvl w:ilvl="3">
      <w:start w:val="1"/>
      <w:numFmt w:val="decimal"/>
      <w:lvlText w:val="%4."/>
      <w:lvlJc w:val="left"/>
      <w:pPr>
        <w:ind w:left="2400" w:hanging="400"/>
      </w:pPr>
    </w:lvl>
    <w:lvl w:ilvl="4">
      <w:start w:val="1"/>
      <w:numFmt w:val="upperLetter"/>
      <w:lvlText w:val="%5."/>
      <w:lvlJc w:val="left"/>
      <w:pPr>
        <w:ind w:left="2800" w:hanging="400"/>
      </w:pPr>
    </w:lvl>
    <w:lvl w:ilvl="5">
      <w:start w:val="1"/>
      <w:numFmt w:val="lowerRoman"/>
      <w:lvlText w:val="%6."/>
      <w:lvlJc w:val="right"/>
      <w:pPr>
        <w:ind w:left="3200" w:hanging="400"/>
      </w:pPr>
    </w:lvl>
    <w:lvl w:ilvl="6">
      <w:start w:val="1"/>
      <w:numFmt w:val="decimal"/>
      <w:lvlText w:val="%7."/>
      <w:lvlJc w:val="left"/>
      <w:pPr>
        <w:ind w:left="3600" w:hanging="400"/>
      </w:pPr>
    </w:lvl>
    <w:lvl w:ilvl="7">
      <w:start w:val="1"/>
      <w:numFmt w:val="upperLetter"/>
      <w:lvlText w:val="%8."/>
      <w:lvlJc w:val="left"/>
      <w:pPr>
        <w:ind w:left="4000" w:hanging="400"/>
      </w:pPr>
    </w:lvl>
    <w:lvl w:ilvl="8">
      <w:start w:val="1"/>
      <w:numFmt w:val="lowerRoman"/>
      <w:lvlText w:val="%9."/>
      <w:lvlJc w:val="right"/>
      <w:pPr>
        <w:ind w:left="4400" w:hanging="400"/>
      </w:pPr>
    </w:lvl>
  </w:abstractNum>
  <w:abstractNum w:abstractNumId="25">
    <w:nsid w:val="735A101E"/>
    <w:multiLevelType w:val="hybridMultilevel"/>
    <w:tmpl w:val="EB06EF28"/>
    <w:lvl w:ilvl="0" w:tplc="8E70D73E">
      <w:start w:val="1"/>
      <w:numFmt w:val="decimal"/>
      <w:lvlText w:val="(%1)"/>
      <w:lvlJc w:val="left"/>
      <w:pPr>
        <w:ind w:left="1320" w:hanging="360"/>
      </w:pPr>
      <w:rPr>
        <w:rFonts w:hint="default"/>
      </w:rPr>
    </w:lvl>
    <w:lvl w:ilvl="1" w:tplc="04090019" w:tentative="1">
      <w:start w:val="1"/>
      <w:numFmt w:val="upperLetter"/>
      <w:lvlText w:val="%2."/>
      <w:lvlJc w:val="left"/>
      <w:pPr>
        <w:ind w:left="1760" w:hanging="400"/>
      </w:pPr>
    </w:lvl>
    <w:lvl w:ilvl="2" w:tplc="0409001B" w:tentative="1">
      <w:start w:val="1"/>
      <w:numFmt w:val="lowerRoman"/>
      <w:lvlText w:val="%3."/>
      <w:lvlJc w:val="right"/>
      <w:pPr>
        <w:ind w:left="2160" w:hanging="400"/>
      </w:pPr>
    </w:lvl>
    <w:lvl w:ilvl="3" w:tplc="0409000F" w:tentative="1">
      <w:start w:val="1"/>
      <w:numFmt w:val="decimal"/>
      <w:lvlText w:val="%4."/>
      <w:lvlJc w:val="left"/>
      <w:pPr>
        <w:ind w:left="2560" w:hanging="400"/>
      </w:pPr>
    </w:lvl>
    <w:lvl w:ilvl="4" w:tplc="04090019" w:tentative="1">
      <w:start w:val="1"/>
      <w:numFmt w:val="upperLetter"/>
      <w:lvlText w:val="%5."/>
      <w:lvlJc w:val="left"/>
      <w:pPr>
        <w:ind w:left="2960" w:hanging="400"/>
      </w:pPr>
    </w:lvl>
    <w:lvl w:ilvl="5" w:tplc="0409001B" w:tentative="1">
      <w:start w:val="1"/>
      <w:numFmt w:val="lowerRoman"/>
      <w:lvlText w:val="%6."/>
      <w:lvlJc w:val="right"/>
      <w:pPr>
        <w:ind w:left="3360" w:hanging="400"/>
      </w:pPr>
    </w:lvl>
    <w:lvl w:ilvl="6" w:tplc="0409000F" w:tentative="1">
      <w:start w:val="1"/>
      <w:numFmt w:val="decimal"/>
      <w:lvlText w:val="%7."/>
      <w:lvlJc w:val="left"/>
      <w:pPr>
        <w:ind w:left="3760" w:hanging="400"/>
      </w:pPr>
    </w:lvl>
    <w:lvl w:ilvl="7" w:tplc="04090019" w:tentative="1">
      <w:start w:val="1"/>
      <w:numFmt w:val="upperLetter"/>
      <w:lvlText w:val="%8."/>
      <w:lvlJc w:val="left"/>
      <w:pPr>
        <w:ind w:left="4160" w:hanging="400"/>
      </w:pPr>
    </w:lvl>
    <w:lvl w:ilvl="8" w:tplc="0409001B" w:tentative="1">
      <w:start w:val="1"/>
      <w:numFmt w:val="lowerRoman"/>
      <w:lvlText w:val="%9."/>
      <w:lvlJc w:val="right"/>
      <w:pPr>
        <w:ind w:left="4560" w:hanging="400"/>
      </w:pPr>
    </w:lvl>
  </w:abstractNum>
  <w:abstractNum w:abstractNumId="26">
    <w:nsid w:val="76EC0FF2"/>
    <w:multiLevelType w:val="hybridMultilevel"/>
    <w:tmpl w:val="899A7798"/>
    <w:lvl w:ilvl="0" w:tplc="A5AE94A8">
      <w:start w:val="1"/>
      <w:numFmt w:val="decimal"/>
      <w:lvlText w:val="(%1)"/>
      <w:lvlJc w:val="left"/>
      <w:pPr>
        <w:ind w:left="1211" w:hanging="360"/>
      </w:pPr>
      <w:rPr>
        <w:rFonts w:cs="Times New Roman" w:hint="default"/>
      </w:rPr>
    </w:lvl>
    <w:lvl w:ilvl="1" w:tplc="04090019" w:tentative="1">
      <w:start w:val="1"/>
      <w:numFmt w:val="upperLetter"/>
      <w:lvlText w:val="%2."/>
      <w:lvlJc w:val="left"/>
      <w:pPr>
        <w:ind w:left="1600" w:hanging="400"/>
      </w:pPr>
      <w:rPr>
        <w:rFonts w:cs="Times New Roman"/>
      </w:rPr>
    </w:lvl>
    <w:lvl w:ilvl="2" w:tplc="0409001B" w:tentative="1">
      <w:start w:val="1"/>
      <w:numFmt w:val="lowerRoman"/>
      <w:lvlText w:val="%3."/>
      <w:lvlJc w:val="right"/>
      <w:pPr>
        <w:ind w:left="2000" w:hanging="400"/>
      </w:pPr>
      <w:rPr>
        <w:rFonts w:cs="Times New Roman"/>
      </w:rPr>
    </w:lvl>
    <w:lvl w:ilvl="3" w:tplc="0409000F" w:tentative="1">
      <w:start w:val="1"/>
      <w:numFmt w:val="decimal"/>
      <w:lvlText w:val="%4."/>
      <w:lvlJc w:val="left"/>
      <w:pPr>
        <w:ind w:left="2400" w:hanging="400"/>
      </w:pPr>
      <w:rPr>
        <w:rFonts w:cs="Times New Roman"/>
      </w:rPr>
    </w:lvl>
    <w:lvl w:ilvl="4" w:tplc="04090019" w:tentative="1">
      <w:start w:val="1"/>
      <w:numFmt w:val="upperLetter"/>
      <w:lvlText w:val="%5."/>
      <w:lvlJc w:val="left"/>
      <w:pPr>
        <w:ind w:left="2800" w:hanging="400"/>
      </w:pPr>
      <w:rPr>
        <w:rFonts w:cs="Times New Roman"/>
      </w:rPr>
    </w:lvl>
    <w:lvl w:ilvl="5" w:tplc="0409001B" w:tentative="1">
      <w:start w:val="1"/>
      <w:numFmt w:val="lowerRoman"/>
      <w:lvlText w:val="%6."/>
      <w:lvlJc w:val="right"/>
      <w:pPr>
        <w:ind w:left="3200" w:hanging="400"/>
      </w:pPr>
      <w:rPr>
        <w:rFonts w:cs="Times New Roman"/>
      </w:rPr>
    </w:lvl>
    <w:lvl w:ilvl="6" w:tplc="0409000F" w:tentative="1">
      <w:start w:val="1"/>
      <w:numFmt w:val="decimal"/>
      <w:lvlText w:val="%7."/>
      <w:lvlJc w:val="left"/>
      <w:pPr>
        <w:ind w:left="3600" w:hanging="400"/>
      </w:pPr>
      <w:rPr>
        <w:rFonts w:cs="Times New Roman"/>
      </w:rPr>
    </w:lvl>
    <w:lvl w:ilvl="7" w:tplc="04090019" w:tentative="1">
      <w:start w:val="1"/>
      <w:numFmt w:val="upperLetter"/>
      <w:lvlText w:val="%8."/>
      <w:lvlJc w:val="left"/>
      <w:pPr>
        <w:ind w:left="4000" w:hanging="400"/>
      </w:pPr>
      <w:rPr>
        <w:rFonts w:cs="Times New Roman"/>
      </w:rPr>
    </w:lvl>
    <w:lvl w:ilvl="8" w:tplc="0409001B" w:tentative="1">
      <w:start w:val="1"/>
      <w:numFmt w:val="lowerRoman"/>
      <w:lvlText w:val="%9."/>
      <w:lvlJc w:val="right"/>
      <w:pPr>
        <w:ind w:left="4400" w:hanging="400"/>
      </w:pPr>
      <w:rPr>
        <w:rFonts w:cs="Times New Roman"/>
      </w:rPr>
    </w:lvl>
  </w:abstractNum>
  <w:abstractNum w:abstractNumId="27">
    <w:nsid w:val="78552C8C"/>
    <w:multiLevelType w:val="hybridMultilevel"/>
    <w:tmpl w:val="A7841962"/>
    <w:lvl w:ilvl="0" w:tplc="50204F0A">
      <w:start w:val="1"/>
      <w:numFmt w:val="upperRoman"/>
      <w:lvlText w:val="%1."/>
      <w:lvlJc w:val="left"/>
      <w:pPr>
        <w:ind w:left="1120" w:hanging="72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8">
    <w:nsid w:val="7D1A17CE"/>
    <w:multiLevelType w:val="hybridMultilevel"/>
    <w:tmpl w:val="8BDC2120"/>
    <w:lvl w:ilvl="0" w:tplc="0128C120">
      <w:start w:val="3"/>
      <w:numFmt w:val="bullet"/>
      <w:lvlText w:val="-"/>
      <w:lvlJc w:val="left"/>
      <w:pPr>
        <w:ind w:left="760" w:hanging="360"/>
      </w:pPr>
      <w:rPr>
        <w:rFonts w:ascii="Times New Roman" w:eastAsia="맑은 고딕" w:hAnsi="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12"/>
  </w:num>
  <w:num w:numId="2">
    <w:abstractNumId w:val="26"/>
  </w:num>
  <w:num w:numId="3">
    <w:abstractNumId w:val="9"/>
  </w:num>
  <w:num w:numId="4">
    <w:abstractNumId w:val="4"/>
  </w:num>
  <w:num w:numId="5">
    <w:abstractNumId w:val="3"/>
  </w:num>
  <w:num w:numId="6">
    <w:abstractNumId w:val="1"/>
  </w:num>
  <w:num w:numId="7">
    <w:abstractNumId w:val="10"/>
  </w:num>
  <w:num w:numId="8">
    <w:abstractNumId w:val="2"/>
  </w:num>
  <w:num w:numId="9">
    <w:abstractNumId w:val="16"/>
  </w:num>
  <w:num w:numId="10">
    <w:abstractNumId w:val="5"/>
  </w:num>
  <w:num w:numId="11">
    <w:abstractNumId w:val="11"/>
  </w:num>
  <w:num w:numId="12">
    <w:abstractNumId w:val="24"/>
  </w:num>
  <w:num w:numId="13">
    <w:abstractNumId w:val="7"/>
  </w:num>
  <w:num w:numId="14">
    <w:abstractNumId w:val="28"/>
  </w:num>
  <w:num w:numId="15">
    <w:abstractNumId w:val="15"/>
  </w:num>
  <w:num w:numId="16">
    <w:abstractNumId w:val="0"/>
  </w:num>
  <w:num w:numId="17">
    <w:abstractNumId w:val="21"/>
  </w:num>
  <w:num w:numId="18">
    <w:abstractNumId w:val="22"/>
  </w:num>
  <w:num w:numId="19">
    <w:abstractNumId w:val="6"/>
  </w:num>
  <w:num w:numId="20">
    <w:abstractNumId w:val="17"/>
  </w:num>
  <w:num w:numId="21">
    <w:abstractNumId w:val="23"/>
  </w:num>
  <w:num w:numId="22">
    <w:abstractNumId w:val="14"/>
  </w:num>
  <w:num w:numId="23">
    <w:abstractNumId w:val="20"/>
  </w:num>
  <w:num w:numId="24">
    <w:abstractNumId w:val="18"/>
  </w:num>
  <w:num w:numId="25">
    <w:abstractNumId w:val="13"/>
  </w:num>
  <w:num w:numId="26">
    <w:abstractNumId w:val="8"/>
  </w:num>
  <w:num w:numId="27">
    <w:abstractNumId w:val="25"/>
  </w:num>
  <w:num w:numId="28">
    <w:abstractNumId w:val="27"/>
  </w:num>
  <w:num w:numId="29">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2"/>
  <w:bordersDoNotSurroundHeader/>
  <w:bordersDoNotSurroundFooter/>
  <w:defaultTabStop w:val="800"/>
  <w:displayHorizontalDrawingGridEvery w:val="0"/>
  <w:displayVerticalDrawingGridEvery w:val="2"/>
  <w:noPunctuationKerning/>
  <w:characterSpacingControl w:val="doNotCompress"/>
  <w:hdrShapeDefaults>
    <o:shapedefaults v:ext="edit" spidmax="1024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87C3B"/>
    <w:rsid w:val="00030C15"/>
    <w:rsid w:val="00091061"/>
    <w:rsid w:val="000F2C72"/>
    <w:rsid w:val="0013022B"/>
    <w:rsid w:val="00155654"/>
    <w:rsid w:val="001D3F98"/>
    <w:rsid w:val="00212519"/>
    <w:rsid w:val="002C731F"/>
    <w:rsid w:val="002C78A9"/>
    <w:rsid w:val="002D0BE4"/>
    <w:rsid w:val="00447D3B"/>
    <w:rsid w:val="004A38B8"/>
    <w:rsid w:val="005036C4"/>
    <w:rsid w:val="0057584A"/>
    <w:rsid w:val="005A001A"/>
    <w:rsid w:val="005D3395"/>
    <w:rsid w:val="00611164"/>
    <w:rsid w:val="00671C6D"/>
    <w:rsid w:val="006A7ECB"/>
    <w:rsid w:val="006D759F"/>
    <w:rsid w:val="00715286"/>
    <w:rsid w:val="0073594B"/>
    <w:rsid w:val="007726F3"/>
    <w:rsid w:val="00811499"/>
    <w:rsid w:val="00831A94"/>
    <w:rsid w:val="008845B5"/>
    <w:rsid w:val="00914FA8"/>
    <w:rsid w:val="00997626"/>
    <w:rsid w:val="00A36BBE"/>
    <w:rsid w:val="00AD1584"/>
    <w:rsid w:val="00AD6277"/>
    <w:rsid w:val="00AF1241"/>
    <w:rsid w:val="00B30835"/>
    <w:rsid w:val="00B40D77"/>
    <w:rsid w:val="00BA7BBC"/>
    <w:rsid w:val="00BB7B9A"/>
    <w:rsid w:val="00BF696D"/>
    <w:rsid w:val="00C2226B"/>
    <w:rsid w:val="00C24367"/>
    <w:rsid w:val="00C6165F"/>
    <w:rsid w:val="00C61B9B"/>
    <w:rsid w:val="00CA5425"/>
    <w:rsid w:val="00CC2261"/>
    <w:rsid w:val="00CD41D4"/>
    <w:rsid w:val="00D1586E"/>
    <w:rsid w:val="00D852AC"/>
    <w:rsid w:val="00DE40F9"/>
    <w:rsid w:val="00E630DB"/>
    <w:rsid w:val="00E87C3B"/>
    <w:rsid w:val="00EB4BD5"/>
    <w:rsid w:val="00F60416"/>
    <w:rsid w:val="00F91B87"/>
    <w:rsid w:val="00FD0AC8"/>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7C3B"/>
    <w:pPr>
      <w:widowControl w:val="0"/>
      <w:wordWrap w:val="0"/>
      <w:autoSpaceDE w:val="0"/>
      <w:autoSpaceDN w:val="0"/>
      <w:jc w:val="both"/>
    </w:pPr>
    <w:rPr>
      <w:rFonts w:ascii="맑은 고딕" w:eastAsia="맑은 고딕" w:hAnsi="맑은 고딕" w:cs="Arial"/>
    </w:rPr>
  </w:style>
  <w:style w:type="paragraph" w:styleId="4">
    <w:name w:val="heading 4"/>
    <w:basedOn w:val="a"/>
    <w:next w:val="a"/>
    <w:link w:val="4Char"/>
    <w:uiPriority w:val="9"/>
    <w:qFormat/>
    <w:rsid w:val="00E87C3B"/>
    <w:pPr>
      <w:keepNext/>
      <w:keepLines/>
      <w:widowControl/>
      <w:wordWrap/>
      <w:autoSpaceDE/>
      <w:autoSpaceDN/>
      <w:spacing w:before="200" w:line="276" w:lineRule="auto"/>
      <w:jc w:val="left"/>
      <w:outlineLvl w:val="3"/>
    </w:pPr>
    <w:rPr>
      <w:rFonts w:cs="Times New Roman"/>
      <w:b/>
      <w:bCs/>
      <w:i/>
      <w:iCs/>
      <w:color w:val="4F81BD"/>
      <w:kern w:val="0"/>
      <w:sz w:val="22"/>
      <w:lang w:eastAsia="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Char">
    <w:name w:val="제목 4 Char"/>
    <w:basedOn w:val="a0"/>
    <w:link w:val="4"/>
    <w:uiPriority w:val="9"/>
    <w:rsid w:val="00E87C3B"/>
    <w:rPr>
      <w:rFonts w:ascii="맑은 고딕" w:eastAsia="맑은 고딕" w:hAnsi="맑은 고딕" w:cs="Times New Roman"/>
      <w:b/>
      <w:bCs/>
      <w:i/>
      <w:iCs/>
      <w:color w:val="4F81BD"/>
      <w:kern w:val="0"/>
      <w:sz w:val="22"/>
      <w:lang w:eastAsia="en-US" w:bidi="en-US"/>
    </w:rPr>
  </w:style>
  <w:style w:type="paragraph" w:styleId="a3">
    <w:name w:val="footer"/>
    <w:basedOn w:val="a"/>
    <w:link w:val="Char"/>
    <w:uiPriority w:val="99"/>
    <w:rsid w:val="00E87C3B"/>
    <w:pPr>
      <w:tabs>
        <w:tab w:val="center" w:pos="4320"/>
        <w:tab w:val="right" w:pos="8640"/>
      </w:tabs>
    </w:pPr>
  </w:style>
  <w:style w:type="character" w:customStyle="1" w:styleId="Char">
    <w:name w:val="바닥글 Char"/>
    <w:basedOn w:val="a0"/>
    <w:link w:val="a3"/>
    <w:uiPriority w:val="99"/>
    <w:rsid w:val="00E87C3B"/>
    <w:rPr>
      <w:rFonts w:ascii="맑은 고딕" w:eastAsia="맑은 고딕" w:hAnsi="맑은 고딕" w:cs="Arial"/>
    </w:rPr>
  </w:style>
  <w:style w:type="character" w:styleId="a4">
    <w:name w:val="page number"/>
    <w:basedOn w:val="a0"/>
    <w:rsid w:val="00E87C3B"/>
  </w:style>
  <w:style w:type="paragraph" w:styleId="a5">
    <w:name w:val="header"/>
    <w:basedOn w:val="a"/>
    <w:link w:val="Char0"/>
    <w:uiPriority w:val="99"/>
    <w:rsid w:val="00E87C3B"/>
    <w:pPr>
      <w:tabs>
        <w:tab w:val="center" w:pos="4320"/>
        <w:tab w:val="right" w:pos="8640"/>
      </w:tabs>
    </w:pPr>
  </w:style>
  <w:style w:type="character" w:customStyle="1" w:styleId="Char0">
    <w:name w:val="머리글 Char"/>
    <w:basedOn w:val="a0"/>
    <w:link w:val="a5"/>
    <w:uiPriority w:val="99"/>
    <w:rsid w:val="00E87C3B"/>
    <w:rPr>
      <w:rFonts w:ascii="맑은 고딕" w:eastAsia="맑은 고딕" w:hAnsi="맑은 고딕" w:cs="Arial"/>
    </w:rPr>
  </w:style>
  <w:style w:type="paragraph" w:customStyle="1" w:styleId="1">
    <w:name w:val="목록 단락1"/>
    <w:basedOn w:val="a"/>
    <w:rsid w:val="00E87C3B"/>
    <w:pPr>
      <w:ind w:leftChars="400" w:left="800"/>
    </w:pPr>
  </w:style>
  <w:style w:type="paragraph" w:styleId="a6">
    <w:name w:val="footnote text"/>
    <w:basedOn w:val="a"/>
    <w:link w:val="Char1"/>
    <w:rsid w:val="00E87C3B"/>
    <w:pPr>
      <w:snapToGrid w:val="0"/>
      <w:jc w:val="left"/>
    </w:pPr>
  </w:style>
  <w:style w:type="character" w:customStyle="1" w:styleId="Char1">
    <w:name w:val="각주 텍스트 Char"/>
    <w:basedOn w:val="a0"/>
    <w:link w:val="a6"/>
    <w:rsid w:val="00E87C3B"/>
    <w:rPr>
      <w:rFonts w:ascii="맑은 고딕" w:eastAsia="맑은 고딕" w:hAnsi="맑은 고딕" w:cs="Arial"/>
    </w:rPr>
  </w:style>
  <w:style w:type="character" w:styleId="a7">
    <w:name w:val="footnote reference"/>
    <w:basedOn w:val="a0"/>
    <w:semiHidden/>
    <w:rsid w:val="00E87C3B"/>
    <w:rPr>
      <w:rFonts w:cs="Times New Roman"/>
      <w:vertAlign w:val="superscript"/>
    </w:rPr>
  </w:style>
  <w:style w:type="character" w:styleId="a8">
    <w:name w:val="Hyperlink"/>
    <w:basedOn w:val="a0"/>
    <w:uiPriority w:val="99"/>
    <w:unhideWhenUsed/>
    <w:rsid w:val="00E87C3B"/>
    <w:rPr>
      <w:color w:val="0000FF"/>
      <w:u w:val="single"/>
    </w:rPr>
  </w:style>
  <w:style w:type="paragraph" w:customStyle="1" w:styleId="10">
    <w:name w:val="스타일1"/>
    <w:basedOn w:val="a"/>
    <w:rsid w:val="00E87C3B"/>
    <w:rPr>
      <w:rFonts w:ascii="Times New Roman" w:eastAsia="Times New Roman" w:hAnsi="Times New Roman" w:cs="Times New Roman"/>
      <w:sz w:val="24"/>
      <w:szCs w:val="24"/>
    </w:rPr>
  </w:style>
  <w:style w:type="paragraph" w:styleId="a9">
    <w:name w:val="List Paragraph"/>
    <w:basedOn w:val="a"/>
    <w:uiPriority w:val="34"/>
    <w:qFormat/>
    <w:rsid w:val="00E87C3B"/>
    <w:pPr>
      <w:widowControl/>
      <w:wordWrap/>
      <w:autoSpaceDE/>
      <w:autoSpaceDN/>
      <w:ind w:leftChars="400" w:left="800"/>
      <w:jc w:val="left"/>
    </w:pPr>
    <w:rPr>
      <w:rFonts w:ascii="Times New Roman" w:eastAsia="SimSun" w:hAnsi="Times New Roman" w:cs="Times New Roman"/>
      <w:kern w:val="0"/>
      <w:sz w:val="24"/>
      <w:szCs w:val="24"/>
      <w:lang w:eastAsia="zh-C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893199-8712-4FE5-8C4F-9FAF5236F3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28</Pages>
  <Words>13455</Words>
  <Characters>76700</Characters>
  <Application>Microsoft Office Word</Application>
  <DocSecurity>0</DocSecurity>
  <Lines>639</Lines>
  <Paragraphs>179</Paragraphs>
  <ScaleCrop>false</ScaleCrop>
  <HeadingPairs>
    <vt:vector size="2" baseType="variant">
      <vt:variant>
        <vt:lpstr>제목</vt:lpstr>
      </vt:variant>
      <vt:variant>
        <vt:i4>1</vt:i4>
      </vt:variant>
    </vt:vector>
  </HeadingPairs>
  <TitlesOfParts>
    <vt:vector size="1" baseType="lpstr">
      <vt:lpstr/>
    </vt:vector>
  </TitlesOfParts>
  <Company>auney</Company>
  <LinksUpToDate>false</LinksUpToDate>
  <CharactersWithSpaces>89976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auney</dc:creator>
  <cp:lastModifiedBy>auney</cp:lastModifiedBy>
  <cp:revision>7</cp:revision>
  <dcterms:created xsi:type="dcterms:W3CDTF">2010-05-26T13:07:00Z</dcterms:created>
  <dcterms:modified xsi:type="dcterms:W3CDTF">2010-05-26T15:22:00Z</dcterms:modified>
</cp:coreProperties>
</file>